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0F8BB" w14:textId="77777777" w:rsidR="00A8616F" w:rsidRDefault="00A8616F" w:rsidP="00CF2315">
      <w:pPr>
        <w:pStyle w:val="ArticleTitle"/>
      </w:pPr>
      <w:r w:rsidRPr="00A8616F">
        <w:t>Supplemental Material</w:t>
      </w:r>
    </w:p>
    <w:p w14:paraId="4389CA98" w14:textId="77777777" w:rsidR="00A8616F" w:rsidRPr="00A8616F" w:rsidRDefault="00A8616F" w:rsidP="00A8616F"/>
    <w:p w14:paraId="5E60BC57" w14:textId="58C2C844" w:rsidR="00CF2315" w:rsidRDefault="00B9320C" w:rsidP="00CF2315">
      <w:pPr>
        <w:pStyle w:val="ArticleTitle"/>
      </w:pPr>
      <w:r w:rsidRPr="00B9320C">
        <w:t>Liquid crystal integrated metalens with tunable chromatic aberration</w:t>
      </w:r>
    </w:p>
    <w:p w14:paraId="402636F0" w14:textId="77777777" w:rsidR="00B472F5" w:rsidRDefault="00B472F5" w:rsidP="00A7052A">
      <w:pPr>
        <w:rPr>
          <w:rFonts w:ascii="Arial" w:hAnsi="Arial" w:cs="Arial"/>
        </w:rPr>
      </w:pPr>
    </w:p>
    <w:p w14:paraId="15166D28" w14:textId="2D84ACF4" w:rsidR="00B472F5" w:rsidRPr="00B03DEA" w:rsidRDefault="00501211" w:rsidP="00CF2315">
      <w:pPr>
        <w:pStyle w:val="AuthorNames"/>
      </w:pPr>
      <w:r w:rsidRPr="00501211">
        <w:t xml:space="preserve">Zhixiong </w:t>
      </w:r>
      <w:proofErr w:type="spellStart"/>
      <w:r w:rsidRPr="00501211">
        <w:t>Shen</w:t>
      </w:r>
      <w:r>
        <w:t>,</w:t>
      </w:r>
      <w:r w:rsidRPr="00501211">
        <w:rPr>
          <w:vertAlign w:val="superscript"/>
        </w:rPr>
        <w:t>a,b</w:t>
      </w:r>
      <w:proofErr w:type="spellEnd"/>
      <w:r w:rsidRPr="00501211">
        <w:t xml:space="preserve"> Shenghang </w:t>
      </w:r>
      <w:proofErr w:type="spellStart"/>
      <w:r w:rsidRPr="00501211">
        <w:t>Zhou,</w:t>
      </w:r>
      <w:r w:rsidRPr="00501211">
        <w:rPr>
          <w:vertAlign w:val="superscript"/>
        </w:rPr>
        <w:t>a</w:t>
      </w:r>
      <w:proofErr w:type="spellEnd"/>
      <w:r w:rsidRPr="00501211">
        <w:t xml:space="preserve"> Xinan </w:t>
      </w:r>
      <w:proofErr w:type="spellStart"/>
      <w:r w:rsidRPr="00501211">
        <w:t>Li,</w:t>
      </w:r>
      <w:r w:rsidRPr="00501211">
        <w:rPr>
          <w:vertAlign w:val="superscript"/>
        </w:rPr>
        <w:t>a</w:t>
      </w:r>
      <w:proofErr w:type="spellEnd"/>
      <w:r w:rsidRPr="00501211">
        <w:t xml:space="preserve"> Shijun </w:t>
      </w:r>
      <w:proofErr w:type="spellStart"/>
      <w:r w:rsidRPr="00501211">
        <w:t>Ge,</w:t>
      </w:r>
      <w:r w:rsidRPr="00501211">
        <w:rPr>
          <w:vertAlign w:val="superscript"/>
        </w:rPr>
        <w:t>a,b</w:t>
      </w:r>
      <w:proofErr w:type="spellEnd"/>
      <w:r w:rsidRPr="00501211">
        <w:t xml:space="preserve"> Peng </w:t>
      </w:r>
      <w:proofErr w:type="spellStart"/>
      <w:r w:rsidRPr="00501211">
        <w:t>Chen,</w:t>
      </w:r>
      <w:r w:rsidRPr="00501211">
        <w:rPr>
          <w:vertAlign w:val="superscript"/>
        </w:rPr>
        <w:t>a,b</w:t>
      </w:r>
      <w:proofErr w:type="spellEnd"/>
      <w:r>
        <w:t xml:space="preserve"> Wei </w:t>
      </w:r>
      <w:proofErr w:type="spellStart"/>
      <w:r>
        <w:t>Hu,</w:t>
      </w:r>
      <w:r w:rsidRPr="00501211">
        <w:rPr>
          <w:vertAlign w:val="superscript"/>
        </w:rPr>
        <w:t>a,b</w:t>
      </w:r>
      <w:proofErr w:type="spellEnd"/>
      <w:r w:rsidRPr="00501211">
        <w:rPr>
          <w:vertAlign w:val="superscript"/>
        </w:rPr>
        <w:t>,</w:t>
      </w:r>
      <w:r w:rsidRPr="00CA225C">
        <w:t>*</w:t>
      </w:r>
      <w:r w:rsidRPr="00501211">
        <w:t xml:space="preserve"> and Yanqing </w:t>
      </w:r>
      <w:proofErr w:type="spellStart"/>
      <w:r w:rsidRPr="00501211">
        <w:t>Lu</w:t>
      </w:r>
      <w:r w:rsidRPr="00501211">
        <w:rPr>
          <w:rFonts w:hint="eastAsia"/>
          <w:vertAlign w:val="superscript"/>
          <w:lang w:eastAsia="zh-CN"/>
        </w:rPr>
        <w:t>a</w:t>
      </w:r>
      <w:proofErr w:type="spellEnd"/>
      <w:r w:rsidRPr="00501211">
        <w:rPr>
          <w:rFonts w:hint="eastAsia"/>
          <w:vertAlign w:val="superscript"/>
          <w:lang w:eastAsia="zh-CN"/>
        </w:rPr>
        <w:t>,</w:t>
      </w:r>
      <w:r w:rsidRPr="00CA225C">
        <w:t>*</w:t>
      </w:r>
    </w:p>
    <w:p w14:paraId="18665473" w14:textId="6B7FC54C" w:rsidR="00B472F5" w:rsidRPr="00CF2315" w:rsidRDefault="00B472F5" w:rsidP="00CF2315">
      <w:pPr>
        <w:pStyle w:val="AuthorAffiliations"/>
        <w:rPr>
          <w:vertAlign w:val="baseline"/>
        </w:rPr>
      </w:pPr>
      <w:proofErr w:type="spellStart"/>
      <w:r w:rsidRPr="00CF2315">
        <w:t>a</w:t>
      </w:r>
      <w:r w:rsidR="00CA225C" w:rsidRPr="00CA225C">
        <w:rPr>
          <w:vertAlign w:val="baseline"/>
        </w:rPr>
        <w:t>National</w:t>
      </w:r>
      <w:proofErr w:type="spellEnd"/>
      <w:r w:rsidR="00CA225C" w:rsidRPr="00CA225C">
        <w:rPr>
          <w:vertAlign w:val="baseline"/>
        </w:rPr>
        <w:t xml:space="preserve"> Laboratory of Solid State Microstructures, Key Laboratory of Intelligent Optical Sensing and Manipulation, College of Engineering and Applied Sciences, and Collaborative Innovation Center of Advanced Microstructures, Nanjing University, Nanjing 210093, China</w:t>
      </w:r>
    </w:p>
    <w:p w14:paraId="6514BB35" w14:textId="182E06A8" w:rsidR="00187EFA" w:rsidRDefault="00B472F5" w:rsidP="00A8616F">
      <w:pPr>
        <w:pStyle w:val="AuthorAffiliations"/>
        <w:rPr>
          <w:vertAlign w:val="baseline"/>
        </w:rPr>
      </w:pPr>
      <w:proofErr w:type="spellStart"/>
      <w:proofErr w:type="gramStart"/>
      <w:r w:rsidRPr="00CF2315">
        <w:t>b</w:t>
      </w:r>
      <w:r w:rsidR="00CA225C" w:rsidRPr="00CA225C">
        <w:rPr>
          <w:vertAlign w:val="baseline"/>
        </w:rPr>
        <w:t>Institute</w:t>
      </w:r>
      <w:proofErr w:type="spellEnd"/>
      <w:proofErr w:type="gramEnd"/>
      <w:r w:rsidR="00CA225C" w:rsidRPr="00CA225C">
        <w:rPr>
          <w:vertAlign w:val="baseline"/>
        </w:rPr>
        <w:t xml:space="preserve"> for Smart Liquid Crystals, JITRI, </w:t>
      </w:r>
      <w:proofErr w:type="spellStart"/>
      <w:r w:rsidR="00CA225C" w:rsidRPr="00CA225C">
        <w:rPr>
          <w:vertAlign w:val="baseline"/>
        </w:rPr>
        <w:t>Changshu</w:t>
      </w:r>
      <w:proofErr w:type="spellEnd"/>
      <w:r w:rsidR="00CA225C" w:rsidRPr="00CA225C">
        <w:rPr>
          <w:vertAlign w:val="baseline"/>
        </w:rPr>
        <w:t xml:space="preserve"> 215500, China</w:t>
      </w:r>
    </w:p>
    <w:p w14:paraId="38C221EA" w14:textId="77777777" w:rsidR="00A8616F" w:rsidRDefault="00A8616F" w:rsidP="00A8616F">
      <w:pPr>
        <w:pStyle w:val="AuthorAffiliations"/>
        <w:rPr>
          <w:vertAlign w:val="baseline"/>
        </w:rPr>
      </w:pPr>
    </w:p>
    <w:p w14:paraId="0A9BE168" w14:textId="77777777" w:rsidR="00A8616F" w:rsidRPr="00A8616F" w:rsidRDefault="00A8616F" w:rsidP="00A8616F">
      <w:pPr>
        <w:pStyle w:val="AuthorAffiliations"/>
        <w:rPr>
          <w:vertAlign w:val="baseline"/>
        </w:rPr>
      </w:pPr>
    </w:p>
    <w:p w14:paraId="2647F163" w14:textId="77777777" w:rsidR="00A8616F" w:rsidRPr="00F55C93" w:rsidRDefault="00A8616F" w:rsidP="00A8616F">
      <w:pPr>
        <w:pStyle w:val="1"/>
        <w:rPr>
          <w:rFonts w:eastAsia="宋体"/>
          <w:lang w:eastAsia="zh-CN"/>
        </w:rPr>
      </w:pPr>
      <w:r w:rsidRPr="00F55C93">
        <w:t xml:space="preserve">Section </w:t>
      </w:r>
      <w:r>
        <w:t>S</w:t>
      </w:r>
      <w:r w:rsidRPr="00F55C93">
        <w:t>1: Design principle</w:t>
      </w:r>
    </w:p>
    <w:p w14:paraId="31043490" w14:textId="25B97BEC" w:rsidR="00A8616F" w:rsidRPr="00F55C93" w:rsidRDefault="00A8616F" w:rsidP="00A8616F">
      <w:pPr>
        <w:spacing w:line="480" w:lineRule="auto"/>
        <w:jc w:val="both"/>
        <w:rPr>
          <w:lang w:eastAsia="zh-CN"/>
        </w:rPr>
      </w:pPr>
      <w:r w:rsidRPr="00F55C93">
        <w:t>According to the Huygens principle, the focusing effect of a planar metalens is the contribution of the refracted light from all points on the lens surface. At any point, the refraction of normal incidence is governed by the generalized Snell’s law</w:t>
      </w:r>
      <w:r w:rsidR="0091745A" w:rsidRPr="0091745A">
        <w:rPr>
          <w:noProof/>
          <w:color w:val="0070C0"/>
          <w:vertAlign w:val="superscript"/>
          <w:lang w:eastAsia="zh-CN"/>
        </w:rPr>
        <w:t>50</w:t>
      </w:r>
    </w:p>
    <w:p w14:paraId="09614ABD" w14:textId="77777777" w:rsidR="00A8616F" w:rsidRPr="00F55C93" w:rsidRDefault="00A8616F" w:rsidP="00A8616F">
      <w:pPr>
        <w:spacing w:line="480" w:lineRule="auto"/>
        <w:ind w:firstLineChars="200" w:firstLine="480"/>
        <w:jc w:val="right"/>
      </w:pPr>
      <w:r w:rsidRPr="00F55C93">
        <w:rPr>
          <w:noProof/>
          <w:position w:val="-26"/>
        </w:rPr>
        <w:object w:dxaOrig="2160" w:dyaOrig="600" w14:anchorId="1BD1D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28.5pt;mso-width-percent:0;mso-height-percent:0;mso-width-percent:0;mso-height-percent:0" o:ole="">
            <v:imagedata r:id="rId11" o:title=""/>
          </v:shape>
          <o:OLEObject Type="Embed" ProgID="Equation.DSMT4" ShapeID="_x0000_i1025" DrawAspect="Content" ObjectID="_1649676501" r:id="rId12"/>
        </w:object>
      </w:r>
      <w:r w:rsidRPr="00F55C93">
        <w:t>,                                                (S1)</w:t>
      </w:r>
    </w:p>
    <w:p w14:paraId="747CE0A4" w14:textId="77777777" w:rsidR="00A8616F" w:rsidRPr="00F55C93" w:rsidRDefault="00A8616F" w:rsidP="00A8616F">
      <w:pPr>
        <w:spacing w:line="480" w:lineRule="auto"/>
        <w:jc w:val="both"/>
      </w:pPr>
      <w:proofErr w:type="gramStart"/>
      <w:r w:rsidRPr="00F55C93">
        <w:t>where</w:t>
      </w:r>
      <w:proofErr w:type="gramEnd"/>
      <w:r w:rsidRPr="00F55C93">
        <w:t xml:space="preserve"> </w:t>
      </w:r>
      <w:r w:rsidRPr="00F55C93">
        <w:rPr>
          <w:i/>
        </w:rPr>
        <w:t>φ</w:t>
      </w:r>
      <w:r w:rsidRPr="00F55C93">
        <w:t xml:space="preserve"> is the phase profile of a lens along the radius </w:t>
      </w:r>
      <w:r w:rsidRPr="00F55C93">
        <w:rPr>
          <w:i/>
        </w:rPr>
        <w:t>r</w:t>
      </w:r>
      <w:r w:rsidRPr="00F55C93">
        <w:t>,</w:t>
      </w:r>
      <w:r w:rsidRPr="00F55C93">
        <w:rPr>
          <w:i/>
        </w:rPr>
        <w:t xml:space="preserve"> </w:t>
      </w:r>
      <w:proofErr w:type="spellStart"/>
      <w:r w:rsidRPr="00F55C93">
        <w:rPr>
          <w:i/>
        </w:rPr>
        <w:t>θ</w:t>
      </w:r>
      <w:r w:rsidRPr="00F55C93">
        <w:rPr>
          <w:vertAlign w:val="subscript"/>
        </w:rPr>
        <w:t>i</w:t>
      </w:r>
      <w:proofErr w:type="spellEnd"/>
      <w:r w:rsidRPr="00F55C93">
        <w:t xml:space="preserve"> and </w:t>
      </w:r>
      <w:proofErr w:type="spellStart"/>
      <w:r w:rsidRPr="00F55C93">
        <w:rPr>
          <w:i/>
        </w:rPr>
        <w:t>θ</w:t>
      </w:r>
      <w:r w:rsidRPr="00F55C93">
        <w:rPr>
          <w:vertAlign w:val="subscript"/>
        </w:rPr>
        <w:t>t</w:t>
      </w:r>
      <w:proofErr w:type="spellEnd"/>
      <w:r w:rsidRPr="00F55C93">
        <w:t xml:space="preserve"> are the incident and refraction angle, respectively.</w:t>
      </w:r>
      <w:r w:rsidRPr="00F55C93">
        <w:rPr>
          <w:i/>
        </w:rPr>
        <w:t xml:space="preserve"> </w:t>
      </w:r>
      <w:proofErr w:type="spellStart"/>
      <w:proofErr w:type="gramStart"/>
      <w:r w:rsidRPr="00F55C93">
        <w:rPr>
          <w:i/>
        </w:rPr>
        <w:t>n</w:t>
      </w:r>
      <w:r w:rsidRPr="00F55C93">
        <w:rPr>
          <w:vertAlign w:val="subscript"/>
        </w:rPr>
        <w:t>i</w:t>
      </w:r>
      <w:proofErr w:type="spellEnd"/>
      <w:proofErr w:type="gramEnd"/>
      <w:r w:rsidRPr="00F55C93">
        <w:t xml:space="preserve"> and </w:t>
      </w:r>
      <w:proofErr w:type="spellStart"/>
      <w:r w:rsidRPr="00F55C93">
        <w:rPr>
          <w:i/>
        </w:rPr>
        <w:t>n</w:t>
      </w:r>
      <w:r w:rsidRPr="00F55C93">
        <w:rPr>
          <w:vertAlign w:val="subscript"/>
        </w:rPr>
        <w:t>t</w:t>
      </w:r>
      <w:proofErr w:type="spellEnd"/>
      <w:r w:rsidRPr="00F55C93">
        <w:t xml:space="preserve"> are the refractive indices of the media on the incident and transmission side, respectively. </w:t>
      </w:r>
      <w:proofErr w:type="gramStart"/>
      <w:r w:rsidRPr="00F55C93">
        <w:rPr>
          <w:i/>
        </w:rPr>
        <w:t>k</w:t>
      </w:r>
      <w:r w:rsidRPr="00F55C93">
        <w:rPr>
          <w:vertAlign w:val="subscript"/>
        </w:rPr>
        <w:t>0</w:t>
      </w:r>
      <w:proofErr w:type="gramEnd"/>
      <w:r w:rsidRPr="00F55C93">
        <w:t xml:space="preserve"> is the magnitude of the free space wavevector. It is clear that by adding an additional phase factor ∆</w:t>
      </w:r>
      <w:r w:rsidRPr="00F55C93">
        <w:rPr>
          <w:i/>
          <w:iCs/>
        </w:rPr>
        <w:t>φ</w:t>
      </w:r>
      <w:r w:rsidRPr="00F55C93">
        <w:t xml:space="preserve"> independent on </w:t>
      </w:r>
      <w:r w:rsidRPr="00F55C93">
        <w:rPr>
          <w:i/>
          <w:iCs/>
        </w:rPr>
        <w:t>r</w:t>
      </w:r>
      <w:r w:rsidRPr="00F55C93">
        <w:t xml:space="preserve">, </w:t>
      </w:r>
      <w:proofErr w:type="spellStart"/>
      <w:r w:rsidRPr="00F55C93">
        <w:rPr>
          <w:i/>
        </w:rPr>
        <w:t>θ</w:t>
      </w:r>
      <w:r w:rsidRPr="00F55C93">
        <w:rPr>
          <w:vertAlign w:val="subscript"/>
        </w:rPr>
        <w:t>t</w:t>
      </w:r>
      <w:proofErr w:type="spellEnd"/>
      <w:r w:rsidRPr="00F55C93">
        <w:t xml:space="preserve"> remains unchanged. ∆</w:t>
      </w:r>
      <w:r w:rsidRPr="00F55C93">
        <w:rPr>
          <w:i/>
          <w:iCs/>
        </w:rPr>
        <w:t>φ</w:t>
      </w:r>
      <w:r w:rsidRPr="00F55C93">
        <w:t xml:space="preserve"> is designed to increase linearly with frequency </w:t>
      </w:r>
      <w:r w:rsidRPr="00F55C93">
        <w:rPr>
          <w:i/>
        </w:rPr>
        <w:t>f</w:t>
      </w:r>
      <w:r w:rsidRPr="00F55C93">
        <w:t xml:space="preserve"> to match the resonant phase of silicon pillar meta-units (Fig. S1). As the dispersion ratio </w:t>
      </w:r>
      <w:proofErr w:type="spellStart"/>
      <w:r w:rsidRPr="00F55C93">
        <w:t>d</w:t>
      </w:r>
      <w:r w:rsidRPr="00F55C93">
        <w:rPr>
          <w:i/>
          <w:iCs/>
        </w:rPr>
        <w:t>φ</w:t>
      </w:r>
      <w:proofErr w:type="spellEnd"/>
      <w:r w:rsidRPr="00F55C93">
        <w:t>/</w:t>
      </w:r>
      <w:proofErr w:type="spellStart"/>
      <w:r w:rsidRPr="00F55C93">
        <w:t>d</w:t>
      </w:r>
      <w:r w:rsidRPr="00F55C93">
        <w:rPr>
          <w:i/>
          <w:iCs/>
        </w:rPr>
        <w:t>f</w:t>
      </w:r>
      <w:proofErr w:type="spellEnd"/>
      <w:r w:rsidRPr="00F55C93">
        <w:t xml:space="preserve"> gradually decreases from the center to the edge accordin</w:t>
      </w:r>
      <w:r>
        <w:t>g to Equation</w:t>
      </w:r>
      <w:r w:rsidRPr="00F55C93">
        <w:t xml:space="preserve"> </w:t>
      </w:r>
      <w:r>
        <w:t>(</w:t>
      </w:r>
      <w:r w:rsidRPr="00F55C93">
        <w:t>2</w:t>
      </w:r>
      <w:r>
        <w:t>)</w:t>
      </w:r>
      <w:r w:rsidRPr="00F55C93">
        <w:t xml:space="preserve"> in the main text, silicon pillar meta-units with varying geometries should be adopted along </w:t>
      </w:r>
      <w:r w:rsidRPr="00F55C93">
        <w:rPr>
          <w:i/>
          <w:iCs/>
        </w:rPr>
        <w:t>r</w:t>
      </w:r>
      <w:r w:rsidRPr="00F55C93">
        <w:t>.</w:t>
      </w:r>
    </w:p>
    <w:p w14:paraId="75C2E551" w14:textId="77777777" w:rsidR="00A8616F" w:rsidRPr="00F55C93" w:rsidRDefault="00A8616F" w:rsidP="00A8616F">
      <w:pPr>
        <w:spacing w:line="480" w:lineRule="auto"/>
        <w:ind w:firstLineChars="200" w:firstLine="480"/>
        <w:jc w:val="center"/>
      </w:pPr>
      <w:r w:rsidRPr="00F55C93">
        <w:rPr>
          <w:noProof/>
          <w:lang w:eastAsia="zh-CN"/>
        </w:rPr>
        <w:lastRenderedPageBreak/>
        <w:drawing>
          <wp:inline distT="0" distB="0" distL="0" distR="0" wp14:anchorId="4DAAA943" wp14:editId="272C613C">
            <wp:extent cx="4092494" cy="15120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72" t="7770" r="5470" b="1699"/>
                    <a:stretch/>
                  </pic:blipFill>
                  <pic:spPr bwMode="auto">
                    <a:xfrm>
                      <a:off x="0" y="0"/>
                      <a:ext cx="409249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0E44A70" w14:textId="73B75F12" w:rsidR="00A8616F" w:rsidRPr="00F55C93" w:rsidRDefault="00A8616F" w:rsidP="00A8616F">
      <w:pPr>
        <w:spacing w:after="240" w:line="360" w:lineRule="auto"/>
        <w:jc w:val="both"/>
        <w:rPr>
          <w:sz w:val="20"/>
        </w:rPr>
      </w:pPr>
      <w:r w:rsidRPr="00F55C93">
        <w:rPr>
          <w:b/>
          <w:sz w:val="20"/>
        </w:rPr>
        <w:t>Fig</w:t>
      </w:r>
      <w:r>
        <w:rPr>
          <w:b/>
          <w:sz w:val="20"/>
        </w:rPr>
        <w:t>. S1</w:t>
      </w:r>
      <w:r w:rsidRPr="00F55C93">
        <w:rPr>
          <w:sz w:val="20"/>
        </w:rPr>
        <w:t xml:space="preserve"> Phase and phase dispersion required for a broadband achromatic lens. </w:t>
      </w:r>
      <w:r>
        <w:rPr>
          <w:rFonts w:hint="eastAsia"/>
          <w:sz w:val="20"/>
          <w:lang w:eastAsia="zh-CN"/>
        </w:rPr>
        <w:t>(</w:t>
      </w:r>
      <w:r w:rsidRPr="00F55C93">
        <w:rPr>
          <w:sz w:val="20"/>
        </w:rPr>
        <w:t xml:space="preserve">a) Phase profiles of a lens with focal length </w:t>
      </w:r>
      <w:r w:rsidRPr="00F55C93">
        <w:rPr>
          <w:i/>
          <w:iCs/>
          <w:sz w:val="20"/>
        </w:rPr>
        <w:t>F</w:t>
      </w:r>
      <w:r w:rsidRPr="00F55C93">
        <w:rPr>
          <w:sz w:val="20"/>
        </w:rPr>
        <w:t xml:space="preserve"> = 15.0 mm at 0.9 THz (blue curves) and 1.4 THz (red curves). The solid and dashed curves represent the phase profiles with and without ∆</w:t>
      </w:r>
      <w:r w:rsidRPr="00F55C93">
        <w:rPr>
          <w:i/>
          <w:iCs/>
          <w:sz w:val="20"/>
        </w:rPr>
        <w:t>φ</w:t>
      </w:r>
      <w:r w:rsidRPr="00F55C93">
        <w:rPr>
          <w:sz w:val="20"/>
        </w:rPr>
        <w:t xml:space="preserve">, respectively. </w:t>
      </w:r>
      <w:r>
        <w:rPr>
          <w:sz w:val="20"/>
        </w:rPr>
        <w:t>(</w:t>
      </w:r>
      <w:r w:rsidRPr="00F55C93">
        <w:rPr>
          <w:sz w:val="20"/>
        </w:rPr>
        <w:t xml:space="preserve">b) Dependency of the phase on frequency at two radius positions plotted in (a). The dashed line and the dot line indicate the position </w:t>
      </w:r>
      <w:r w:rsidRPr="00F55C93">
        <w:rPr>
          <w:i/>
          <w:iCs/>
          <w:sz w:val="20"/>
        </w:rPr>
        <w:t>r</w:t>
      </w:r>
      <w:r w:rsidRPr="00F55C93">
        <w:rPr>
          <w:sz w:val="20"/>
        </w:rPr>
        <w:t xml:space="preserve"> = 0 and 3000 </w:t>
      </w:r>
      <w:proofErr w:type="spellStart"/>
      <w:r w:rsidRPr="00F55C93">
        <w:rPr>
          <w:sz w:val="20"/>
        </w:rPr>
        <w:t>μm</w:t>
      </w:r>
      <w:proofErr w:type="spellEnd"/>
      <w:r w:rsidRPr="00F55C93">
        <w:rPr>
          <w:sz w:val="20"/>
        </w:rPr>
        <w:t>, respectively.</w:t>
      </w:r>
    </w:p>
    <w:p w14:paraId="610887D2" w14:textId="76727062" w:rsidR="00A8616F" w:rsidRPr="00F55C93" w:rsidRDefault="00A8616F" w:rsidP="00A8616F">
      <w:pPr>
        <w:spacing w:line="480" w:lineRule="auto"/>
        <w:ind w:firstLineChars="200" w:firstLine="480"/>
        <w:jc w:val="both"/>
      </w:pPr>
      <w:r w:rsidRPr="00F55C93">
        <w:t>The waveguide resonance can be excited inside the rectangular-shaped silicon pillar meta-unit</w:t>
      </w:r>
      <w:proofErr w:type="gramStart"/>
      <w:r w:rsidRPr="00F55C93">
        <w:t>,</w:t>
      </w:r>
      <w:r w:rsidR="0091745A" w:rsidRPr="0091745A">
        <w:rPr>
          <w:noProof/>
          <w:color w:val="0070C0"/>
          <w:vertAlign w:val="superscript"/>
        </w:rPr>
        <w:t>51</w:t>
      </w:r>
      <w:proofErr w:type="gramEnd"/>
      <w:r w:rsidRPr="00F55C93">
        <w:t xml:space="preserve"> which can be directly observed from the simulated magnetic intensity distributions (Fig. S2). The induced THz fields are highly concentrated inside the pillar, contributing to the negligible interaction with their neighbors. As the frequency increases, more power distributions are revealed, indicating higher-order waveguide resonances.</w:t>
      </w:r>
    </w:p>
    <w:p w14:paraId="1F4F7B07" w14:textId="77777777" w:rsidR="00A8616F" w:rsidRPr="00F55C93" w:rsidRDefault="00A8616F" w:rsidP="00A8616F">
      <w:pPr>
        <w:spacing w:line="480" w:lineRule="auto"/>
        <w:ind w:firstLineChars="200" w:firstLine="480"/>
        <w:jc w:val="center"/>
      </w:pPr>
      <w:r w:rsidRPr="00F55C93">
        <w:rPr>
          <w:noProof/>
          <w:lang w:eastAsia="zh-CN"/>
        </w:rPr>
        <w:drawing>
          <wp:inline distT="0" distB="0" distL="0" distR="0" wp14:anchorId="6C9AF1DE" wp14:editId="0F3DBEE6">
            <wp:extent cx="3257907" cy="198000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907" cy="1980000"/>
                    </a:xfrm>
                    <a:prstGeom prst="rect">
                      <a:avLst/>
                    </a:prstGeom>
                    <a:noFill/>
                    <a:ln>
                      <a:noFill/>
                    </a:ln>
                  </pic:spPr>
                </pic:pic>
              </a:graphicData>
            </a:graphic>
          </wp:inline>
        </w:drawing>
      </w:r>
    </w:p>
    <w:p w14:paraId="472F790F" w14:textId="46D66E1B" w:rsidR="00A8616F" w:rsidRPr="00F55C93" w:rsidRDefault="00A8616F" w:rsidP="00A8616F">
      <w:pPr>
        <w:spacing w:after="240" w:line="360" w:lineRule="auto"/>
        <w:jc w:val="both"/>
        <w:rPr>
          <w:b/>
          <w:sz w:val="20"/>
        </w:rPr>
      </w:pPr>
      <w:r w:rsidRPr="00F55C93">
        <w:rPr>
          <w:b/>
          <w:sz w:val="20"/>
        </w:rPr>
        <w:t>Fig</w:t>
      </w:r>
      <w:r>
        <w:rPr>
          <w:b/>
          <w:sz w:val="20"/>
        </w:rPr>
        <w:t>.</w:t>
      </w:r>
      <w:r w:rsidRPr="00F55C93">
        <w:rPr>
          <w:b/>
          <w:sz w:val="20"/>
        </w:rPr>
        <w:t xml:space="preserve"> S</w:t>
      </w:r>
      <w:r>
        <w:rPr>
          <w:b/>
          <w:sz w:val="20"/>
        </w:rPr>
        <w:t>2</w:t>
      </w:r>
      <w:r w:rsidRPr="00F55C93">
        <w:rPr>
          <w:sz w:val="20"/>
        </w:rPr>
        <w:t xml:space="preserve"> Normalized magnetic intensity distribution inside the pillar with </w:t>
      </w:r>
      <w:r w:rsidRPr="00F55C93">
        <w:rPr>
          <w:i/>
          <w:sz w:val="20"/>
        </w:rPr>
        <w:t>l</w:t>
      </w:r>
      <w:r w:rsidRPr="00F55C93">
        <w:rPr>
          <w:sz w:val="20"/>
        </w:rPr>
        <w:t xml:space="preserve"> = 50 </w:t>
      </w:r>
      <w:proofErr w:type="spellStart"/>
      <w:r w:rsidRPr="00F55C93">
        <w:rPr>
          <w:sz w:val="20"/>
        </w:rPr>
        <w:t>μm</w:t>
      </w:r>
      <w:proofErr w:type="spellEnd"/>
      <w:r w:rsidRPr="00F55C93">
        <w:rPr>
          <w:sz w:val="20"/>
        </w:rPr>
        <w:t xml:space="preserve"> and </w:t>
      </w:r>
      <w:r w:rsidRPr="00F55C93">
        <w:rPr>
          <w:i/>
          <w:sz w:val="20"/>
        </w:rPr>
        <w:t>w</w:t>
      </w:r>
      <w:r w:rsidRPr="00F55C93">
        <w:rPr>
          <w:sz w:val="20"/>
        </w:rPr>
        <w:t xml:space="preserve"> = 36 </w:t>
      </w:r>
      <w:proofErr w:type="spellStart"/>
      <w:r w:rsidRPr="00F55C93">
        <w:rPr>
          <w:sz w:val="20"/>
        </w:rPr>
        <w:t>μm</w:t>
      </w:r>
      <w:proofErr w:type="spellEnd"/>
      <w:r w:rsidRPr="00F55C93">
        <w:rPr>
          <w:sz w:val="20"/>
        </w:rPr>
        <w:t xml:space="preserve"> from 0.9 to 1.4 THz.</w:t>
      </w:r>
    </w:p>
    <w:p w14:paraId="0344132A" w14:textId="77777777" w:rsidR="00A8616F" w:rsidRPr="00F55C93" w:rsidRDefault="00A8616F" w:rsidP="00A8616F">
      <w:pPr>
        <w:spacing w:after="240" w:line="480" w:lineRule="auto"/>
        <w:ind w:firstLineChars="200" w:firstLine="480"/>
        <w:jc w:val="both"/>
        <w:rPr>
          <w:noProof/>
        </w:rPr>
      </w:pPr>
      <w:r w:rsidRPr="00F55C93">
        <w:rPr>
          <w:noProof/>
        </w:rPr>
        <w:t>When no bias is applied, the phase of the achromatic lens (</w:t>
      </w:r>
      <w:proofErr w:type="spellStart"/>
      <w:r w:rsidRPr="00F55C93">
        <w:rPr>
          <w:i/>
          <w:iCs/>
        </w:rPr>
        <w:t>φ</w:t>
      </w:r>
      <w:r w:rsidRPr="00F55C93">
        <w:rPr>
          <w:iCs/>
          <w:vertAlign w:val="subscript"/>
        </w:rPr>
        <w:t>A</w:t>
      </w:r>
      <w:proofErr w:type="spellEnd"/>
      <w:r w:rsidRPr="00F55C93">
        <w:rPr>
          <w:noProof/>
        </w:rPr>
        <w:t>) is the contribution of both the resonant phase from meta-unit arrays (</w:t>
      </w:r>
      <w:proofErr w:type="spellStart"/>
      <w:r w:rsidRPr="00F55C93">
        <w:rPr>
          <w:i/>
          <w:iCs/>
        </w:rPr>
        <w:t>φ</w:t>
      </w:r>
      <w:r w:rsidRPr="00F55C93">
        <w:rPr>
          <w:noProof/>
          <w:vertAlign w:val="subscript"/>
        </w:rPr>
        <w:t>R</w:t>
      </w:r>
      <w:proofErr w:type="spellEnd"/>
      <w:r w:rsidRPr="00F55C93">
        <w:rPr>
          <w:noProof/>
        </w:rPr>
        <w:t>) and geometric phase from LCs (</w:t>
      </w:r>
      <w:proofErr w:type="spellStart"/>
      <w:r w:rsidRPr="00F55C93">
        <w:rPr>
          <w:i/>
          <w:iCs/>
        </w:rPr>
        <w:t>φ</w:t>
      </w:r>
      <w:r w:rsidRPr="00F55C93">
        <w:rPr>
          <w:noProof/>
          <w:vertAlign w:val="subscript"/>
        </w:rPr>
        <w:t>G</w:t>
      </w:r>
      <w:proofErr w:type="spellEnd"/>
      <w:r w:rsidRPr="00F55C93">
        <w:rPr>
          <w:noProof/>
        </w:rPr>
        <w:t xml:space="preserve">), namely, </w:t>
      </w:r>
      <w:proofErr w:type="spellStart"/>
      <w:r w:rsidRPr="00F55C93">
        <w:rPr>
          <w:i/>
          <w:iCs/>
        </w:rPr>
        <w:t>φ</w:t>
      </w:r>
      <w:r w:rsidRPr="00F55C93">
        <w:rPr>
          <w:iCs/>
          <w:vertAlign w:val="subscript"/>
        </w:rPr>
        <w:t>A</w:t>
      </w:r>
      <w:proofErr w:type="spellEnd"/>
      <w:r w:rsidRPr="00F55C93">
        <w:rPr>
          <w:iCs/>
        </w:rPr>
        <w:t xml:space="preserve"> = </w:t>
      </w:r>
      <w:proofErr w:type="spellStart"/>
      <w:r w:rsidRPr="00F55C93">
        <w:rPr>
          <w:i/>
          <w:iCs/>
        </w:rPr>
        <w:t>φ</w:t>
      </w:r>
      <w:r w:rsidRPr="00F55C93">
        <w:rPr>
          <w:iCs/>
          <w:vertAlign w:val="subscript"/>
        </w:rPr>
        <w:t>R</w:t>
      </w:r>
      <w:proofErr w:type="spellEnd"/>
      <w:r w:rsidRPr="00F55C93">
        <w:rPr>
          <w:iCs/>
        </w:rPr>
        <w:t xml:space="preserve"> + </w:t>
      </w:r>
      <w:proofErr w:type="spellStart"/>
      <w:r w:rsidRPr="00F55C93">
        <w:rPr>
          <w:i/>
          <w:iCs/>
        </w:rPr>
        <w:t>φ</w:t>
      </w:r>
      <w:r w:rsidRPr="00F55C93">
        <w:rPr>
          <w:iCs/>
          <w:vertAlign w:val="subscript"/>
        </w:rPr>
        <w:t>G</w:t>
      </w:r>
      <w:proofErr w:type="spellEnd"/>
      <w:r w:rsidRPr="00F55C93">
        <w:rPr>
          <w:iCs/>
        </w:rPr>
        <w:t>.</w:t>
      </w:r>
      <w:r w:rsidRPr="00F55C93">
        <w:rPr>
          <w:noProof/>
        </w:rPr>
        <w:t xml:space="preserve"> The mechanism of </w:t>
      </w:r>
      <w:proofErr w:type="spellStart"/>
      <w:proofErr w:type="gramStart"/>
      <w:r w:rsidRPr="00F55C93">
        <w:rPr>
          <w:i/>
          <w:iCs/>
        </w:rPr>
        <w:t>φ</w:t>
      </w:r>
      <w:r w:rsidRPr="00F55C93">
        <w:rPr>
          <w:noProof/>
          <w:vertAlign w:val="subscript"/>
        </w:rPr>
        <w:t>R</w:t>
      </w:r>
      <w:proofErr w:type="spellEnd"/>
      <w:proofErr w:type="gramEnd"/>
      <w:r w:rsidRPr="00F55C93">
        <w:rPr>
          <w:noProof/>
        </w:rPr>
        <w:t xml:space="preserve"> and </w:t>
      </w:r>
      <w:proofErr w:type="spellStart"/>
      <w:r w:rsidRPr="00F55C93">
        <w:rPr>
          <w:i/>
          <w:iCs/>
        </w:rPr>
        <w:t>φ</w:t>
      </w:r>
      <w:r w:rsidRPr="00F55C93">
        <w:rPr>
          <w:noProof/>
          <w:vertAlign w:val="subscript"/>
        </w:rPr>
        <w:t>G</w:t>
      </w:r>
      <w:proofErr w:type="spellEnd"/>
      <w:r w:rsidRPr="00F55C93">
        <w:rPr>
          <w:noProof/>
        </w:rPr>
        <w:t xml:space="preserve"> are different, thus these two phases will not disturb with each </w:t>
      </w:r>
      <w:r w:rsidRPr="00F55C93">
        <w:rPr>
          <w:noProof/>
        </w:rPr>
        <w:lastRenderedPageBreak/>
        <w:t>other.</w:t>
      </w:r>
      <w:r w:rsidRPr="00F55C93">
        <w:rPr>
          <w:iCs/>
        </w:rPr>
        <w:t xml:space="preserve"> When the bias is saturated, the residual phase is </w:t>
      </w:r>
      <w:proofErr w:type="spellStart"/>
      <w:r w:rsidRPr="00F55C93">
        <w:rPr>
          <w:i/>
          <w:iCs/>
        </w:rPr>
        <w:t>φ</w:t>
      </w:r>
      <w:r w:rsidRPr="00F55C93">
        <w:rPr>
          <w:iCs/>
          <w:vertAlign w:val="subscript"/>
        </w:rPr>
        <w:t>R</w:t>
      </w:r>
      <w:proofErr w:type="spellEnd"/>
      <w:r w:rsidRPr="00F55C93">
        <w:rPr>
          <w:iCs/>
        </w:rPr>
        <w:t xml:space="preserve">. It can be observed from Fig. 1j that </w:t>
      </w:r>
      <w:r w:rsidRPr="00F55C93">
        <w:t>a</w:t>
      </w:r>
      <w:r w:rsidRPr="00F55C93">
        <w:rPr>
          <w:noProof/>
        </w:rPr>
        <w:t xml:space="preserve">t each </w:t>
      </w:r>
      <w:r w:rsidRPr="00F55C93">
        <w:rPr>
          <w:i/>
          <w:iCs/>
          <w:noProof/>
        </w:rPr>
        <w:t>r</w:t>
      </w:r>
      <w:r w:rsidRPr="00F55C93">
        <w:rPr>
          <w:noProof/>
        </w:rPr>
        <w:t xml:space="preserve">, </w:t>
      </w:r>
      <w:r w:rsidRPr="00F55C93">
        <w:rPr>
          <w:iCs/>
        </w:rPr>
        <w:t>|</w:t>
      </w:r>
      <w:proofErr w:type="spellStart"/>
      <w:r w:rsidRPr="00F55C93">
        <w:rPr>
          <w:iCs/>
        </w:rPr>
        <w:t>d</w:t>
      </w:r>
      <w:r w:rsidRPr="00F55C93">
        <w:rPr>
          <w:i/>
          <w:iCs/>
        </w:rPr>
        <w:t>φ</w:t>
      </w:r>
      <w:proofErr w:type="spellEnd"/>
      <w:r w:rsidRPr="00F55C93">
        <w:rPr>
          <w:iCs/>
        </w:rPr>
        <w:t>/</w:t>
      </w:r>
      <w:proofErr w:type="spellStart"/>
      <w:r w:rsidRPr="00F55C93">
        <w:rPr>
          <w:iCs/>
        </w:rPr>
        <w:t>d</w:t>
      </w:r>
      <w:r w:rsidRPr="00F55C93">
        <w:rPr>
          <w:i/>
        </w:rPr>
        <w:t>r</w:t>
      </w:r>
      <w:proofErr w:type="spellEnd"/>
      <w:r w:rsidRPr="00F55C93">
        <w:rPr>
          <w:iCs/>
        </w:rPr>
        <w:t xml:space="preserve">| decreases compared to the achromatic case, contributing to a decreased </w:t>
      </w:r>
      <w:proofErr w:type="spellStart"/>
      <w:r w:rsidRPr="00F55C93">
        <w:rPr>
          <w:i/>
        </w:rPr>
        <w:t>θ</w:t>
      </w:r>
      <w:r w:rsidRPr="00F55C93">
        <w:rPr>
          <w:vertAlign w:val="subscript"/>
        </w:rPr>
        <w:t>t</w:t>
      </w:r>
      <w:proofErr w:type="spellEnd"/>
      <w:r w:rsidRPr="00F55C93">
        <w:rPr>
          <w:iCs/>
        </w:rPr>
        <w:t xml:space="preserve"> according to </w:t>
      </w:r>
      <w:r>
        <w:rPr>
          <w:iCs/>
        </w:rPr>
        <w:t>Equation</w:t>
      </w:r>
      <w:r w:rsidRPr="00F55C93">
        <w:rPr>
          <w:iCs/>
        </w:rPr>
        <w:t xml:space="preserve"> </w:t>
      </w:r>
      <w:r>
        <w:rPr>
          <w:iCs/>
        </w:rPr>
        <w:t>(</w:t>
      </w:r>
      <w:r w:rsidRPr="00F55C93">
        <w:rPr>
          <w:iCs/>
        </w:rPr>
        <w:t>S1</w:t>
      </w:r>
      <w:r>
        <w:rPr>
          <w:iCs/>
        </w:rPr>
        <w:t>)</w:t>
      </w:r>
      <w:r w:rsidRPr="00F55C93">
        <w:rPr>
          <w:iCs/>
        </w:rPr>
        <w:t xml:space="preserve">, thus the </w:t>
      </w:r>
      <w:r w:rsidRPr="00F55C93">
        <w:rPr>
          <w:i/>
        </w:rPr>
        <w:t>F</w:t>
      </w:r>
      <w:r w:rsidRPr="00F55C93">
        <w:t xml:space="preserve"> is enlarged</w:t>
      </w:r>
      <w:r w:rsidRPr="00F55C93">
        <w:rPr>
          <w:iCs/>
        </w:rPr>
        <w:t xml:space="preserve">. The vanish of </w:t>
      </w:r>
      <w:proofErr w:type="spellStart"/>
      <w:proofErr w:type="gramStart"/>
      <w:r w:rsidRPr="00F55C93">
        <w:rPr>
          <w:i/>
          <w:iCs/>
        </w:rPr>
        <w:t>φ</w:t>
      </w:r>
      <w:r w:rsidRPr="00F55C93">
        <w:rPr>
          <w:noProof/>
          <w:vertAlign w:val="subscript"/>
        </w:rPr>
        <w:t>G</w:t>
      </w:r>
      <w:proofErr w:type="spellEnd"/>
      <w:proofErr w:type="gramEnd"/>
      <w:r w:rsidRPr="00F55C93">
        <w:rPr>
          <w:noProof/>
        </w:rPr>
        <w:t xml:space="preserve"> induces a larger </w:t>
      </w:r>
      <w:r w:rsidRPr="00F55C93">
        <w:rPr>
          <w:i/>
        </w:rPr>
        <w:t>F</w:t>
      </w:r>
      <w:r w:rsidRPr="00F55C93">
        <w:rPr>
          <w:iCs/>
        </w:rPr>
        <w:t xml:space="preserve"> at 0.9 THz than that at 1.4 THz. Thus, </w:t>
      </w:r>
      <w:proofErr w:type="gramStart"/>
      <w:r w:rsidRPr="00F55C93">
        <w:rPr>
          <w:iCs/>
        </w:rPr>
        <w:t>the metalens</w:t>
      </w:r>
      <w:proofErr w:type="gramEnd"/>
      <w:r w:rsidRPr="00F55C93">
        <w:rPr>
          <w:iCs/>
        </w:rPr>
        <w:t xml:space="preserve"> at bias saturated state is dispersive.</w:t>
      </w:r>
    </w:p>
    <w:p w14:paraId="659FD626" w14:textId="77777777" w:rsidR="00A8616F" w:rsidRPr="00F55C93" w:rsidRDefault="00A8616F" w:rsidP="00A8616F">
      <w:pPr>
        <w:pStyle w:val="1"/>
        <w:rPr>
          <w:noProof/>
        </w:rPr>
      </w:pPr>
      <w:r w:rsidRPr="00F55C93">
        <w:t xml:space="preserve">Section </w:t>
      </w:r>
      <w:r>
        <w:t>S</w:t>
      </w:r>
      <w:r w:rsidRPr="00F55C93">
        <w:t>2: Etching error induced focal length variation</w:t>
      </w:r>
    </w:p>
    <w:p w14:paraId="3FE749DF" w14:textId="77777777" w:rsidR="00A8616F" w:rsidRPr="00F55C93" w:rsidRDefault="00A8616F" w:rsidP="00A8616F">
      <w:pPr>
        <w:spacing w:line="480" w:lineRule="auto"/>
        <w:jc w:val="both"/>
        <w:rPr>
          <w:noProof/>
        </w:rPr>
      </w:pPr>
      <w:r w:rsidRPr="00F55C93">
        <w:rPr>
          <w:noProof/>
        </w:rPr>
        <w:t xml:space="preserve">The varying aspect ratio leads to an inevitable increased etching depth from the center to the edge of the metasurface. The </w:t>
      </w:r>
      <w:r w:rsidRPr="00F55C93">
        <w:t>cross-section</w:t>
      </w:r>
      <w:r w:rsidRPr="00F55C93">
        <w:rPr>
          <w:noProof/>
        </w:rPr>
        <w:t xml:space="preserve"> SEM image </w:t>
      </w:r>
      <w:r w:rsidRPr="00F55C93">
        <w:t xml:space="preserve">of the metasurface is shown in Fig. </w:t>
      </w:r>
      <w:proofErr w:type="gramStart"/>
      <w:r w:rsidRPr="00F55C93">
        <w:t>S3(</w:t>
      </w:r>
      <w:proofErr w:type="gramEnd"/>
      <w:r w:rsidRPr="00F55C93">
        <w:t xml:space="preserve">a). The orange-circled (Fig. </w:t>
      </w:r>
      <w:proofErr w:type="gramStart"/>
      <w:r w:rsidRPr="00F55C93">
        <w:t>S3(</w:t>
      </w:r>
      <w:proofErr w:type="gramEnd"/>
      <w:r w:rsidRPr="00F55C93">
        <w:t xml:space="preserve">b)) and blue-circled regions (Fig. S3(c)) are near the center and the edge, respectively. The pillar height </w:t>
      </w:r>
      <w:r w:rsidRPr="00F55C93">
        <w:rPr>
          <w:i/>
          <w:iCs/>
        </w:rPr>
        <w:t>h</w:t>
      </w:r>
      <w:r w:rsidRPr="00F55C93">
        <w:t xml:space="preserve"> along </w:t>
      </w:r>
      <w:r w:rsidRPr="00F55C93">
        <w:rPr>
          <w:i/>
          <w:iCs/>
        </w:rPr>
        <w:t>r</w:t>
      </w:r>
      <w:r w:rsidRPr="00F55C93">
        <w:t xml:space="preserve"> is measured and shown in Fig. </w:t>
      </w:r>
      <w:proofErr w:type="gramStart"/>
      <w:r w:rsidRPr="00F55C93">
        <w:t>S3(</w:t>
      </w:r>
      <w:proofErr w:type="gramEnd"/>
      <w:r w:rsidRPr="00F55C93">
        <w:t xml:space="preserve">d) along with the designed 200 </w:t>
      </w:r>
      <w:proofErr w:type="spellStart"/>
      <w:r w:rsidRPr="00F55C93">
        <w:t>μm</w:t>
      </w:r>
      <w:proofErr w:type="spellEnd"/>
      <w:r w:rsidRPr="00F55C93">
        <w:t xml:space="preserve">. </w:t>
      </w:r>
      <w:proofErr w:type="gramStart"/>
      <w:r w:rsidRPr="00F55C93">
        <w:rPr>
          <w:i/>
          <w:iCs/>
        </w:rPr>
        <w:t>h</w:t>
      </w:r>
      <w:proofErr w:type="gramEnd"/>
      <w:r w:rsidRPr="00F55C93">
        <w:t xml:space="preserve"> of the pillar gradually deviates from 200 </w:t>
      </w:r>
      <w:proofErr w:type="spellStart"/>
      <w:r w:rsidRPr="00F55C93">
        <w:t>μm</w:t>
      </w:r>
      <w:proofErr w:type="spellEnd"/>
      <w:r w:rsidRPr="00F55C93">
        <w:t xml:space="preserve"> when </w:t>
      </w:r>
      <w:r w:rsidRPr="00F55C93">
        <w:rPr>
          <w:i/>
          <w:iCs/>
        </w:rPr>
        <w:t>r</w:t>
      </w:r>
      <w:r w:rsidRPr="00F55C93">
        <w:t xml:space="preserve"> increases. This fabrication error leads to the deviation of </w:t>
      </w:r>
      <w:proofErr w:type="spellStart"/>
      <w:proofErr w:type="gramStart"/>
      <w:r w:rsidRPr="00F55C93">
        <w:rPr>
          <w:i/>
          <w:iCs/>
        </w:rPr>
        <w:t>φ</w:t>
      </w:r>
      <w:r w:rsidRPr="00F55C93">
        <w:rPr>
          <w:iCs/>
          <w:vertAlign w:val="subscript"/>
        </w:rPr>
        <w:t>R</w:t>
      </w:r>
      <w:proofErr w:type="spellEnd"/>
      <w:proofErr w:type="gramEnd"/>
      <w:r w:rsidRPr="00F55C93">
        <w:rPr>
          <w:iCs/>
        </w:rPr>
        <w:t xml:space="preserve"> (Fig. </w:t>
      </w:r>
      <w:proofErr w:type="gramStart"/>
      <w:r w:rsidRPr="00F55C93">
        <w:rPr>
          <w:iCs/>
        </w:rPr>
        <w:t>S3(</w:t>
      </w:r>
      <w:proofErr w:type="gramEnd"/>
      <w:r w:rsidRPr="00F55C93">
        <w:rPr>
          <w:iCs/>
        </w:rPr>
        <w:t xml:space="preserve">e)). The simulated </w:t>
      </w:r>
      <w:proofErr w:type="spellStart"/>
      <w:proofErr w:type="gramStart"/>
      <w:r w:rsidRPr="00F55C93">
        <w:rPr>
          <w:i/>
          <w:iCs/>
        </w:rPr>
        <w:t>φ</w:t>
      </w:r>
      <w:r w:rsidRPr="00F55C93">
        <w:rPr>
          <w:iCs/>
          <w:vertAlign w:val="subscript"/>
        </w:rPr>
        <w:t>R</w:t>
      </w:r>
      <w:proofErr w:type="spellEnd"/>
      <w:proofErr w:type="gramEnd"/>
      <w:r w:rsidRPr="00F55C93">
        <w:rPr>
          <w:iCs/>
        </w:rPr>
        <w:t xml:space="preserve"> and </w:t>
      </w:r>
      <w:proofErr w:type="spellStart"/>
      <w:r w:rsidRPr="00F55C93">
        <w:rPr>
          <w:iCs/>
        </w:rPr>
        <w:t>d</w:t>
      </w:r>
      <w:r w:rsidRPr="00F55C93">
        <w:rPr>
          <w:i/>
          <w:iCs/>
        </w:rPr>
        <w:t>φ</w:t>
      </w:r>
      <w:r w:rsidRPr="00F55C93">
        <w:rPr>
          <w:iCs/>
          <w:vertAlign w:val="subscript"/>
        </w:rPr>
        <w:t>R</w:t>
      </w:r>
      <w:proofErr w:type="spellEnd"/>
      <w:r w:rsidRPr="00F55C93">
        <w:rPr>
          <w:iCs/>
        </w:rPr>
        <w:t>/</w:t>
      </w:r>
      <w:proofErr w:type="spellStart"/>
      <w:r w:rsidRPr="00F55C93">
        <w:rPr>
          <w:iCs/>
        </w:rPr>
        <w:t>d</w:t>
      </w:r>
      <w:r w:rsidRPr="00F55C93">
        <w:rPr>
          <w:i/>
        </w:rPr>
        <w:t>f</w:t>
      </w:r>
      <w:proofErr w:type="spellEnd"/>
      <w:r w:rsidRPr="00F55C93">
        <w:rPr>
          <w:iCs/>
        </w:rPr>
        <w:t xml:space="preserve"> with </w:t>
      </w:r>
      <w:r w:rsidRPr="00F55C93">
        <w:rPr>
          <w:i/>
        </w:rPr>
        <w:t>h</w:t>
      </w:r>
      <w:r w:rsidRPr="00F55C93">
        <w:rPr>
          <w:iCs/>
        </w:rPr>
        <w:t xml:space="preserve"> = 200 </w:t>
      </w:r>
      <w:proofErr w:type="spellStart"/>
      <w:r w:rsidRPr="00F55C93">
        <w:t>μm</w:t>
      </w:r>
      <w:proofErr w:type="spellEnd"/>
      <w:r w:rsidRPr="00F55C93">
        <w:t xml:space="preserve"> are both larger than that with </w:t>
      </w:r>
      <w:r w:rsidRPr="00F55C93">
        <w:rPr>
          <w:i/>
        </w:rPr>
        <w:t>h</w:t>
      </w:r>
      <w:r w:rsidRPr="00F55C93">
        <w:rPr>
          <w:iCs/>
        </w:rPr>
        <w:t xml:space="preserve"> = 230 </w:t>
      </w:r>
      <w:proofErr w:type="spellStart"/>
      <w:r w:rsidRPr="00F55C93">
        <w:t>μm</w:t>
      </w:r>
      <w:proofErr w:type="spellEnd"/>
      <w:r w:rsidRPr="00F55C93">
        <w:t xml:space="preserve">. Thus, </w:t>
      </w:r>
      <w:proofErr w:type="spellStart"/>
      <w:r w:rsidRPr="00F55C93">
        <w:rPr>
          <w:iCs/>
        </w:rPr>
        <w:t>d</w:t>
      </w:r>
      <w:r w:rsidRPr="00F55C93">
        <w:rPr>
          <w:i/>
          <w:iCs/>
        </w:rPr>
        <w:t>φ</w:t>
      </w:r>
      <w:proofErr w:type="spellEnd"/>
      <w:r w:rsidRPr="00F55C93">
        <w:rPr>
          <w:iCs/>
        </w:rPr>
        <w:t>/</w:t>
      </w:r>
      <w:proofErr w:type="spellStart"/>
      <w:r w:rsidRPr="00F55C93">
        <w:rPr>
          <w:iCs/>
        </w:rPr>
        <w:t>d</w:t>
      </w:r>
      <w:r w:rsidRPr="00F55C93">
        <w:rPr>
          <w:i/>
        </w:rPr>
        <w:t>r</w:t>
      </w:r>
      <w:proofErr w:type="spellEnd"/>
      <w:r w:rsidRPr="00F55C93">
        <w:t xml:space="preserve"> becomes larger than the design at the edge of the fabricated lens and </w:t>
      </w:r>
      <w:r w:rsidRPr="00F55C93">
        <w:rPr>
          <w:i/>
          <w:iCs/>
        </w:rPr>
        <w:t>F</w:t>
      </w:r>
      <w:r w:rsidRPr="00F55C93">
        <w:t xml:space="preserve"> is shortened accordingly.</w:t>
      </w:r>
    </w:p>
    <w:p w14:paraId="2709C73B" w14:textId="77777777" w:rsidR="00A8616F" w:rsidRPr="00F55C93" w:rsidRDefault="00A8616F" w:rsidP="00A8616F">
      <w:pPr>
        <w:spacing w:line="480" w:lineRule="auto"/>
        <w:ind w:firstLineChars="200" w:firstLine="480"/>
        <w:jc w:val="center"/>
      </w:pPr>
      <w:r w:rsidRPr="00F55C93">
        <w:rPr>
          <w:noProof/>
          <w:lang w:eastAsia="zh-CN"/>
        </w:rPr>
        <w:drawing>
          <wp:inline distT="0" distB="0" distL="0" distR="0" wp14:anchorId="4ED12ABC" wp14:editId="49615C71">
            <wp:extent cx="4152259" cy="3240000"/>
            <wp:effectExtent l="0" t="0" r="1270" b="0"/>
            <wp:docPr id="5" name="图片 5" descr="D:\201810- Achromatic Metalens\Figures\Figure 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10- Achromatic Metalens\Figures\Figure S3.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43" b="1"/>
                    <a:stretch/>
                  </pic:blipFill>
                  <pic:spPr bwMode="auto">
                    <a:xfrm>
                      <a:off x="0" y="0"/>
                      <a:ext cx="415225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2CE665" w14:textId="759585EF" w:rsidR="00A8616F" w:rsidRPr="006F6F53" w:rsidRDefault="00A8616F" w:rsidP="00A8616F">
      <w:pPr>
        <w:spacing w:after="240" w:line="360" w:lineRule="auto"/>
        <w:jc w:val="both"/>
        <w:rPr>
          <w:sz w:val="20"/>
        </w:rPr>
      </w:pPr>
      <w:r>
        <w:rPr>
          <w:b/>
          <w:sz w:val="20"/>
        </w:rPr>
        <w:lastRenderedPageBreak/>
        <w:t>Fig. S3</w:t>
      </w:r>
      <w:r w:rsidRPr="006F6F53">
        <w:rPr>
          <w:sz w:val="20"/>
        </w:rPr>
        <w:t xml:space="preserve"> </w:t>
      </w:r>
      <w:r>
        <w:rPr>
          <w:sz w:val="20"/>
        </w:rPr>
        <w:t>(</w:t>
      </w:r>
      <w:r w:rsidRPr="006F6F53">
        <w:rPr>
          <w:sz w:val="20"/>
        </w:rPr>
        <w:t xml:space="preserve">a) Cross-section SEM image of the metasurface. Scale bar: 300 </w:t>
      </w:r>
      <w:proofErr w:type="spellStart"/>
      <w:r w:rsidRPr="006F6F53">
        <w:rPr>
          <w:sz w:val="20"/>
        </w:rPr>
        <w:t>μm</w:t>
      </w:r>
      <w:proofErr w:type="spellEnd"/>
      <w:r w:rsidRPr="006F6F53">
        <w:rPr>
          <w:sz w:val="20"/>
        </w:rPr>
        <w:t xml:space="preserve">. </w:t>
      </w:r>
      <w:r>
        <w:rPr>
          <w:sz w:val="20"/>
        </w:rPr>
        <w:t>(</w:t>
      </w:r>
      <w:proofErr w:type="gramStart"/>
      <w:r w:rsidRPr="006F6F53">
        <w:rPr>
          <w:sz w:val="20"/>
        </w:rPr>
        <w:t>b</w:t>
      </w:r>
      <w:proofErr w:type="gramEnd"/>
      <w:r w:rsidRPr="006F6F53">
        <w:rPr>
          <w:sz w:val="20"/>
        </w:rPr>
        <w:t xml:space="preserve">) and </w:t>
      </w:r>
      <w:r>
        <w:rPr>
          <w:sz w:val="20"/>
        </w:rPr>
        <w:t>(</w:t>
      </w:r>
      <w:r w:rsidRPr="006F6F53">
        <w:rPr>
          <w:sz w:val="20"/>
        </w:rPr>
        <w:t xml:space="preserve">c) are the zoom-in images of the orange-circled and blue-circled regions in (a), respectively. Scale bar in (b, c): 100 </w:t>
      </w:r>
      <w:proofErr w:type="spellStart"/>
      <w:r w:rsidRPr="006F6F53">
        <w:rPr>
          <w:sz w:val="20"/>
        </w:rPr>
        <w:t>μm</w:t>
      </w:r>
      <w:proofErr w:type="spellEnd"/>
      <w:r w:rsidRPr="006F6F53">
        <w:rPr>
          <w:sz w:val="20"/>
        </w:rPr>
        <w:t xml:space="preserve">. </w:t>
      </w:r>
      <w:r>
        <w:rPr>
          <w:sz w:val="20"/>
        </w:rPr>
        <w:t>(</w:t>
      </w:r>
      <w:proofErr w:type="gramStart"/>
      <w:r w:rsidRPr="006F6F53">
        <w:rPr>
          <w:sz w:val="20"/>
        </w:rPr>
        <w:t>d</w:t>
      </w:r>
      <w:proofErr w:type="gramEnd"/>
      <w:r w:rsidRPr="006F6F53">
        <w:rPr>
          <w:sz w:val="20"/>
        </w:rPr>
        <w:t xml:space="preserve">) Measured etching depth along </w:t>
      </w:r>
      <w:r w:rsidRPr="006F6F53">
        <w:rPr>
          <w:i/>
          <w:sz w:val="20"/>
        </w:rPr>
        <w:t>r</w:t>
      </w:r>
      <w:r w:rsidRPr="006F6F53">
        <w:rPr>
          <w:sz w:val="20"/>
        </w:rPr>
        <w:t xml:space="preserve"> with the designed 200 </w:t>
      </w:r>
      <w:proofErr w:type="spellStart"/>
      <w:r w:rsidRPr="006F6F53">
        <w:rPr>
          <w:sz w:val="20"/>
        </w:rPr>
        <w:t>μm</w:t>
      </w:r>
      <w:proofErr w:type="spellEnd"/>
      <w:r w:rsidRPr="006F6F53">
        <w:rPr>
          <w:sz w:val="20"/>
        </w:rPr>
        <w:t xml:space="preserve">. </w:t>
      </w:r>
      <w:r>
        <w:rPr>
          <w:sz w:val="20"/>
        </w:rPr>
        <w:t>(</w:t>
      </w:r>
      <w:r w:rsidRPr="006F6F53">
        <w:rPr>
          <w:sz w:val="20"/>
        </w:rPr>
        <w:t xml:space="preserve">e) Dependency of the </w:t>
      </w:r>
      <w:proofErr w:type="spellStart"/>
      <w:proofErr w:type="gramStart"/>
      <w:r w:rsidRPr="006F6F53">
        <w:rPr>
          <w:i/>
          <w:iCs/>
          <w:sz w:val="20"/>
        </w:rPr>
        <w:t>φ</w:t>
      </w:r>
      <w:r w:rsidRPr="006F6F53">
        <w:rPr>
          <w:iCs/>
          <w:sz w:val="20"/>
          <w:vertAlign w:val="subscript"/>
        </w:rPr>
        <w:t>R</w:t>
      </w:r>
      <w:proofErr w:type="spellEnd"/>
      <w:proofErr w:type="gramEnd"/>
      <w:r w:rsidRPr="006F6F53">
        <w:rPr>
          <w:sz w:val="20"/>
        </w:rPr>
        <w:t xml:space="preserve"> of a silicon pillar meta-unit with </w:t>
      </w:r>
      <w:r w:rsidRPr="006F6F53">
        <w:rPr>
          <w:i/>
          <w:iCs/>
          <w:sz w:val="20"/>
        </w:rPr>
        <w:t>l</w:t>
      </w:r>
      <w:r w:rsidRPr="006F6F53">
        <w:rPr>
          <w:sz w:val="20"/>
        </w:rPr>
        <w:t xml:space="preserve"> = 48 </w:t>
      </w:r>
      <w:proofErr w:type="spellStart"/>
      <w:r w:rsidRPr="006F6F53">
        <w:rPr>
          <w:sz w:val="20"/>
        </w:rPr>
        <w:t>μm</w:t>
      </w:r>
      <w:proofErr w:type="spellEnd"/>
      <w:r w:rsidRPr="006F6F53">
        <w:rPr>
          <w:sz w:val="20"/>
        </w:rPr>
        <w:t xml:space="preserve"> and </w:t>
      </w:r>
      <w:r w:rsidRPr="006F6F53">
        <w:rPr>
          <w:i/>
          <w:iCs/>
          <w:sz w:val="20"/>
        </w:rPr>
        <w:t>w</w:t>
      </w:r>
      <w:r w:rsidRPr="006F6F53">
        <w:rPr>
          <w:sz w:val="20"/>
        </w:rPr>
        <w:t xml:space="preserve"> = 10 </w:t>
      </w:r>
      <w:proofErr w:type="spellStart"/>
      <w:r w:rsidRPr="006F6F53">
        <w:rPr>
          <w:sz w:val="20"/>
        </w:rPr>
        <w:t>μm</w:t>
      </w:r>
      <w:proofErr w:type="spellEnd"/>
      <w:r w:rsidRPr="006F6F53">
        <w:rPr>
          <w:sz w:val="20"/>
        </w:rPr>
        <w:t xml:space="preserve"> on </w:t>
      </w:r>
      <w:r w:rsidRPr="006F6F53">
        <w:rPr>
          <w:i/>
          <w:sz w:val="20"/>
        </w:rPr>
        <w:t>f</w:t>
      </w:r>
      <w:r w:rsidRPr="006F6F53">
        <w:rPr>
          <w:sz w:val="20"/>
        </w:rPr>
        <w:t xml:space="preserve"> with two different </w:t>
      </w:r>
      <w:r w:rsidRPr="006F6F53">
        <w:rPr>
          <w:i/>
          <w:iCs/>
          <w:sz w:val="20"/>
        </w:rPr>
        <w:t>h</w:t>
      </w:r>
      <w:r w:rsidRPr="006F6F53">
        <w:rPr>
          <w:sz w:val="20"/>
        </w:rPr>
        <w:t>.</w:t>
      </w:r>
    </w:p>
    <w:p w14:paraId="7E8F80DC" w14:textId="77777777" w:rsidR="00A8616F" w:rsidRPr="00F55C93" w:rsidRDefault="00A8616F" w:rsidP="00A8616F">
      <w:pPr>
        <w:pStyle w:val="1"/>
        <w:rPr>
          <w:noProof/>
        </w:rPr>
      </w:pPr>
      <w:r w:rsidRPr="00F55C93">
        <w:t xml:space="preserve">Section </w:t>
      </w:r>
      <w:r>
        <w:t>S</w:t>
      </w:r>
      <w:r w:rsidRPr="00F55C93">
        <w:t>3: Simulations and measurements of the metalens</w:t>
      </w:r>
    </w:p>
    <w:p w14:paraId="624F85C2" w14:textId="77777777" w:rsidR="00A8616F" w:rsidRPr="00F55C93" w:rsidRDefault="00A8616F" w:rsidP="00A8616F">
      <w:pPr>
        <w:spacing w:line="480" w:lineRule="auto"/>
        <w:ind w:firstLineChars="200" w:firstLine="480"/>
        <w:jc w:val="center"/>
      </w:pPr>
      <w:r w:rsidRPr="00F55C93">
        <w:rPr>
          <w:noProof/>
          <w:lang w:eastAsia="zh-CN"/>
        </w:rPr>
        <w:drawing>
          <wp:inline distT="0" distB="0" distL="0" distR="0" wp14:anchorId="37243557" wp14:editId="031F1FBA">
            <wp:extent cx="4810273" cy="378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273" cy="3780000"/>
                    </a:xfrm>
                    <a:prstGeom prst="rect">
                      <a:avLst/>
                    </a:prstGeom>
                    <a:noFill/>
                    <a:ln>
                      <a:noFill/>
                    </a:ln>
                  </pic:spPr>
                </pic:pic>
              </a:graphicData>
            </a:graphic>
          </wp:inline>
        </w:drawing>
      </w:r>
    </w:p>
    <w:p w14:paraId="1FCB5DD6" w14:textId="2ADDE8F4" w:rsidR="00A8616F" w:rsidRPr="006F6F53" w:rsidRDefault="00A8616F" w:rsidP="00A8616F">
      <w:pPr>
        <w:spacing w:after="240" w:line="360" w:lineRule="auto"/>
        <w:jc w:val="both"/>
        <w:rPr>
          <w:sz w:val="20"/>
        </w:rPr>
      </w:pPr>
      <w:r w:rsidRPr="006F6F53">
        <w:rPr>
          <w:b/>
          <w:sz w:val="20"/>
        </w:rPr>
        <w:t>Fig</w:t>
      </w:r>
      <w:r>
        <w:rPr>
          <w:b/>
          <w:sz w:val="20"/>
        </w:rPr>
        <w:t>. S4</w:t>
      </w:r>
      <w:r w:rsidRPr="006F6F53">
        <w:rPr>
          <w:sz w:val="20"/>
        </w:rPr>
        <w:t xml:space="preserve"> Simulated and measured results of </w:t>
      </w:r>
      <w:proofErr w:type="gramStart"/>
      <w:r w:rsidRPr="006F6F53">
        <w:rPr>
          <w:sz w:val="20"/>
        </w:rPr>
        <w:t>the metalens</w:t>
      </w:r>
      <w:proofErr w:type="gramEnd"/>
      <w:r w:rsidRPr="006F6F53">
        <w:rPr>
          <w:sz w:val="20"/>
        </w:rPr>
        <w:t xml:space="preserve">. </w:t>
      </w:r>
      <w:r>
        <w:rPr>
          <w:sz w:val="20"/>
        </w:rPr>
        <w:t>(</w:t>
      </w:r>
      <w:proofErr w:type="gramStart"/>
      <w:r w:rsidRPr="006F6F53">
        <w:rPr>
          <w:sz w:val="20"/>
        </w:rPr>
        <w:t>a</w:t>
      </w:r>
      <w:proofErr w:type="gramEnd"/>
      <w:r w:rsidRPr="006F6F53">
        <w:rPr>
          <w:sz w:val="20"/>
        </w:rPr>
        <w:t xml:space="preserve">, b) Simulated THz intensity distributions in the </w:t>
      </w:r>
      <w:proofErr w:type="spellStart"/>
      <w:r w:rsidRPr="006F6F53">
        <w:rPr>
          <w:i/>
          <w:iCs/>
          <w:sz w:val="20"/>
        </w:rPr>
        <w:t>xz</w:t>
      </w:r>
      <w:proofErr w:type="spellEnd"/>
      <w:r w:rsidRPr="006F6F53">
        <w:rPr>
          <w:sz w:val="20"/>
        </w:rPr>
        <w:t xml:space="preserve">-plane from 0.9 to 1.4 THz at (a) bias OFF and (b) bias saturated state, respectively. </w:t>
      </w:r>
      <w:r>
        <w:rPr>
          <w:sz w:val="20"/>
        </w:rPr>
        <w:t>(</w:t>
      </w:r>
      <w:proofErr w:type="gramStart"/>
      <w:r w:rsidRPr="006F6F53">
        <w:rPr>
          <w:sz w:val="20"/>
        </w:rPr>
        <w:t>c</w:t>
      </w:r>
      <w:proofErr w:type="gramEnd"/>
      <w:r w:rsidRPr="006F6F53">
        <w:rPr>
          <w:sz w:val="20"/>
        </w:rPr>
        <w:t xml:space="preserve">, d) Measured THz intensity distributions in the </w:t>
      </w:r>
      <w:proofErr w:type="spellStart"/>
      <w:r w:rsidRPr="006F6F53">
        <w:rPr>
          <w:i/>
          <w:iCs/>
          <w:sz w:val="20"/>
        </w:rPr>
        <w:t>xz</w:t>
      </w:r>
      <w:proofErr w:type="spellEnd"/>
      <w:r w:rsidRPr="006F6F53">
        <w:rPr>
          <w:sz w:val="20"/>
        </w:rPr>
        <w:t xml:space="preserve">-plane and </w:t>
      </w:r>
      <w:proofErr w:type="spellStart"/>
      <w:r w:rsidRPr="006F6F53">
        <w:rPr>
          <w:i/>
          <w:sz w:val="20"/>
        </w:rPr>
        <w:t>xy</w:t>
      </w:r>
      <w:proofErr w:type="spellEnd"/>
      <w:r w:rsidRPr="006F6F53">
        <w:rPr>
          <w:sz w:val="20"/>
        </w:rPr>
        <w:t>-plane (</w:t>
      </w:r>
      <w:r w:rsidRPr="006F6F53">
        <w:rPr>
          <w:i/>
          <w:sz w:val="20"/>
        </w:rPr>
        <w:t>z</w:t>
      </w:r>
      <w:r w:rsidRPr="006F6F53">
        <w:rPr>
          <w:sz w:val="20"/>
        </w:rPr>
        <w:t xml:space="preserve"> = 12.0 mm in (c) and </w:t>
      </w:r>
      <w:r w:rsidRPr="006F6F53">
        <w:rPr>
          <w:i/>
          <w:sz w:val="20"/>
        </w:rPr>
        <w:t>z</w:t>
      </w:r>
      <w:r w:rsidRPr="006F6F53">
        <w:rPr>
          <w:sz w:val="20"/>
        </w:rPr>
        <w:t xml:space="preserve"> = 13.0 mm in (d)) from 0.9 to 1.4 THz at (c) 0 V</w:t>
      </w:r>
      <w:r w:rsidRPr="006F6F53">
        <w:rPr>
          <w:sz w:val="20"/>
          <w:vertAlign w:val="subscript"/>
        </w:rPr>
        <w:t>rms</w:t>
      </w:r>
      <w:r w:rsidRPr="006F6F53">
        <w:rPr>
          <w:sz w:val="20"/>
        </w:rPr>
        <w:t xml:space="preserve"> and (d) 75 V</w:t>
      </w:r>
      <w:r w:rsidRPr="006F6F53">
        <w:rPr>
          <w:sz w:val="20"/>
          <w:vertAlign w:val="subscript"/>
        </w:rPr>
        <w:t>rms</w:t>
      </w:r>
      <w:r w:rsidRPr="006F6F53">
        <w:rPr>
          <w:sz w:val="20"/>
        </w:rPr>
        <w:t>, respectively.</w:t>
      </w:r>
    </w:p>
    <w:p w14:paraId="57DBA5F8" w14:textId="77777777" w:rsidR="00A8616F" w:rsidRPr="00F55C93" w:rsidRDefault="00A8616F" w:rsidP="00A8616F">
      <w:pPr>
        <w:spacing w:line="480" w:lineRule="auto"/>
        <w:ind w:firstLineChars="200" w:firstLine="480"/>
        <w:jc w:val="center"/>
      </w:pPr>
      <w:r w:rsidRPr="00F55C93">
        <w:rPr>
          <w:noProof/>
          <w:lang w:eastAsia="zh-CN"/>
        </w:rPr>
        <w:lastRenderedPageBreak/>
        <w:drawing>
          <wp:inline distT="0" distB="0" distL="0" distR="0" wp14:anchorId="5C10E33B" wp14:editId="0EEA4547">
            <wp:extent cx="4256456" cy="360000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6456" cy="3600000"/>
                    </a:xfrm>
                    <a:prstGeom prst="rect">
                      <a:avLst/>
                    </a:prstGeom>
                    <a:noFill/>
                    <a:ln>
                      <a:noFill/>
                    </a:ln>
                  </pic:spPr>
                </pic:pic>
              </a:graphicData>
            </a:graphic>
          </wp:inline>
        </w:drawing>
      </w:r>
    </w:p>
    <w:p w14:paraId="207B0306" w14:textId="0DCC3F94" w:rsidR="00A8616F" w:rsidRPr="006F6F53" w:rsidRDefault="00A8616F" w:rsidP="00A8616F">
      <w:pPr>
        <w:spacing w:after="240" w:line="360" w:lineRule="auto"/>
        <w:jc w:val="both"/>
        <w:rPr>
          <w:sz w:val="20"/>
        </w:rPr>
      </w:pPr>
      <w:r w:rsidRPr="006F6F53">
        <w:rPr>
          <w:b/>
          <w:sz w:val="20"/>
        </w:rPr>
        <w:t>Fig</w:t>
      </w:r>
      <w:r>
        <w:rPr>
          <w:b/>
          <w:sz w:val="20"/>
        </w:rPr>
        <w:t>.</w:t>
      </w:r>
      <w:r w:rsidRPr="006F6F53">
        <w:rPr>
          <w:b/>
          <w:sz w:val="20"/>
        </w:rPr>
        <w:t xml:space="preserve"> S5</w:t>
      </w:r>
      <w:r w:rsidRPr="006F6F53">
        <w:rPr>
          <w:sz w:val="20"/>
        </w:rPr>
        <w:t xml:space="preserve"> Broadband THz imaging using this metalens. </w:t>
      </w:r>
      <w:r>
        <w:rPr>
          <w:sz w:val="20"/>
        </w:rPr>
        <w:t>(</w:t>
      </w:r>
      <w:proofErr w:type="gramStart"/>
      <w:r w:rsidRPr="006F6F53">
        <w:rPr>
          <w:sz w:val="20"/>
        </w:rPr>
        <w:t>a</w:t>
      </w:r>
      <w:proofErr w:type="gramEnd"/>
      <w:r w:rsidRPr="006F6F53">
        <w:rPr>
          <w:sz w:val="20"/>
        </w:rPr>
        <w:t xml:space="preserve">, b) Measured (a) intensity and (b) phase distributions in the </w:t>
      </w:r>
      <w:r w:rsidRPr="006F6F53">
        <w:rPr>
          <w:iCs/>
          <w:sz w:val="20"/>
        </w:rPr>
        <w:t xml:space="preserve">image </w:t>
      </w:r>
      <w:r w:rsidRPr="006F6F53">
        <w:rPr>
          <w:sz w:val="20"/>
        </w:rPr>
        <w:t>plane from 0.9 to 1.4 THz at 0 V</w:t>
      </w:r>
      <w:r w:rsidRPr="006F6F53">
        <w:rPr>
          <w:sz w:val="20"/>
          <w:vertAlign w:val="subscript"/>
        </w:rPr>
        <w:t>rms</w:t>
      </w:r>
      <w:r w:rsidRPr="006F6F53">
        <w:rPr>
          <w:sz w:val="20"/>
        </w:rPr>
        <w:t xml:space="preserve">. </w:t>
      </w:r>
      <w:r>
        <w:rPr>
          <w:sz w:val="20"/>
        </w:rPr>
        <w:t>(</w:t>
      </w:r>
      <w:r w:rsidRPr="006F6F53">
        <w:rPr>
          <w:sz w:val="20"/>
        </w:rPr>
        <w:t xml:space="preserve">c, d) Measured (c) intensity and (d) phase distributions in the </w:t>
      </w:r>
      <w:r w:rsidRPr="006F6F53">
        <w:rPr>
          <w:iCs/>
          <w:sz w:val="20"/>
        </w:rPr>
        <w:t xml:space="preserve">same </w:t>
      </w:r>
      <w:r w:rsidRPr="006F6F53">
        <w:rPr>
          <w:sz w:val="20"/>
        </w:rPr>
        <w:t>plane from 0.9 to 1.4 THz at 75 V</w:t>
      </w:r>
      <w:r w:rsidRPr="006F6F53">
        <w:rPr>
          <w:sz w:val="20"/>
          <w:vertAlign w:val="subscript"/>
        </w:rPr>
        <w:t>rms</w:t>
      </w:r>
      <w:r w:rsidRPr="006F6F53">
        <w:rPr>
          <w:sz w:val="20"/>
        </w:rPr>
        <w:t>.</w:t>
      </w:r>
    </w:p>
    <w:p w14:paraId="2A2FAE2F" w14:textId="77777777" w:rsidR="00A8616F" w:rsidRPr="00F55C93" w:rsidRDefault="00A8616F" w:rsidP="00A8616F">
      <w:pPr>
        <w:spacing w:line="480" w:lineRule="auto"/>
        <w:ind w:firstLineChars="200" w:firstLine="480"/>
        <w:jc w:val="center"/>
      </w:pPr>
      <w:r w:rsidRPr="00F55C93">
        <w:rPr>
          <w:noProof/>
          <w:lang w:eastAsia="zh-CN"/>
        </w:rPr>
        <w:drawing>
          <wp:inline distT="0" distB="0" distL="0" distR="0" wp14:anchorId="4C705C0E" wp14:editId="0D8865D2">
            <wp:extent cx="5359660" cy="291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983"/>
                    <a:stretch/>
                  </pic:blipFill>
                  <pic:spPr bwMode="auto">
                    <a:xfrm>
                      <a:off x="0" y="0"/>
                      <a:ext cx="5359660"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023A12FA" w14:textId="01EAFFE3" w:rsidR="00A8616F" w:rsidRPr="006F6F53" w:rsidRDefault="00A8616F" w:rsidP="00A8616F">
      <w:pPr>
        <w:spacing w:after="240" w:line="360" w:lineRule="auto"/>
        <w:jc w:val="both"/>
        <w:rPr>
          <w:sz w:val="20"/>
        </w:rPr>
      </w:pPr>
      <w:r>
        <w:rPr>
          <w:b/>
          <w:sz w:val="20"/>
        </w:rPr>
        <w:t>Fig. S6</w:t>
      </w:r>
      <w:r w:rsidRPr="006F6F53">
        <w:rPr>
          <w:sz w:val="20"/>
        </w:rPr>
        <w:t xml:space="preserve"> Simulations of </w:t>
      </w:r>
      <w:proofErr w:type="gramStart"/>
      <w:r w:rsidRPr="006F6F53">
        <w:rPr>
          <w:sz w:val="20"/>
        </w:rPr>
        <w:t>the metalens</w:t>
      </w:r>
      <w:proofErr w:type="gramEnd"/>
      <w:r w:rsidRPr="006F6F53">
        <w:rPr>
          <w:sz w:val="20"/>
        </w:rPr>
        <w:t xml:space="preserve"> with an increased </w:t>
      </w:r>
      <w:r w:rsidRPr="006F6F53">
        <w:rPr>
          <w:i/>
          <w:iCs/>
          <w:sz w:val="20"/>
        </w:rPr>
        <w:t>h</w:t>
      </w:r>
      <w:r w:rsidRPr="006F6F53">
        <w:rPr>
          <w:iCs/>
          <w:sz w:val="20"/>
        </w:rPr>
        <w:t xml:space="preserve"> while remaining </w:t>
      </w:r>
      <w:r w:rsidRPr="006F6F53">
        <w:rPr>
          <w:i/>
          <w:iCs/>
          <w:sz w:val="20"/>
        </w:rPr>
        <w:t>l</w:t>
      </w:r>
      <w:r w:rsidRPr="006F6F53">
        <w:rPr>
          <w:iCs/>
          <w:sz w:val="20"/>
        </w:rPr>
        <w:t xml:space="preserve">, </w:t>
      </w:r>
      <w:r w:rsidRPr="006F6F53">
        <w:rPr>
          <w:i/>
          <w:iCs/>
          <w:sz w:val="20"/>
        </w:rPr>
        <w:t>w</w:t>
      </w:r>
      <w:r w:rsidRPr="006F6F53">
        <w:rPr>
          <w:iCs/>
          <w:sz w:val="20"/>
        </w:rPr>
        <w:t xml:space="preserve"> and </w:t>
      </w:r>
      <w:r w:rsidRPr="006F6F53">
        <w:rPr>
          <w:i/>
          <w:iCs/>
          <w:sz w:val="20"/>
        </w:rPr>
        <w:t>p</w:t>
      </w:r>
      <w:r w:rsidRPr="006F6F53">
        <w:rPr>
          <w:iCs/>
          <w:sz w:val="20"/>
        </w:rPr>
        <w:t xml:space="preserve"> fixed</w:t>
      </w:r>
      <w:r w:rsidRPr="006F6F53">
        <w:rPr>
          <w:sz w:val="20"/>
        </w:rPr>
        <w:t xml:space="preserve">. </w:t>
      </w:r>
      <w:r>
        <w:rPr>
          <w:sz w:val="20"/>
        </w:rPr>
        <w:t>(</w:t>
      </w:r>
      <w:proofErr w:type="gramStart"/>
      <w:r w:rsidRPr="006F6F53">
        <w:rPr>
          <w:sz w:val="20"/>
        </w:rPr>
        <w:t>a</w:t>
      </w:r>
      <w:proofErr w:type="gramEnd"/>
      <w:r w:rsidRPr="006F6F53">
        <w:rPr>
          <w:sz w:val="20"/>
        </w:rPr>
        <w:t xml:space="preserve">, b) Simulated intensity distributions in the </w:t>
      </w:r>
      <w:proofErr w:type="spellStart"/>
      <w:r w:rsidRPr="006F6F53">
        <w:rPr>
          <w:i/>
          <w:iCs/>
          <w:sz w:val="20"/>
        </w:rPr>
        <w:t>xz</w:t>
      </w:r>
      <w:proofErr w:type="spellEnd"/>
      <w:r w:rsidRPr="006F6F53">
        <w:rPr>
          <w:sz w:val="20"/>
        </w:rPr>
        <w:t xml:space="preserve">-plane with </w:t>
      </w:r>
      <w:r w:rsidRPr="006F6F53">
        <w:rPr>
          <w:i/>
          <w:sz w:val="20"/>
        </w:rPr>
        <w:t>h</w:t>
      </w:r>
      <w:r w:rsidRPr="006F6F53">
        <w:rPr>
          <w:sz w:val="20"/>
        </w:rPr>
        <w:t xml:space="preserve"> = 300 </w:t>
      </w:r>
      <w:proofErr w:type="spellStart"/>
      <w:r w:rsidRPr="006F6F53">
        <w:rPr>
          <w:sz w:val="20"/>
        </w:rPr>
        <w:t>μm</w:t>
      </w:r>
      <w:proofErr w:type="spellEnd"/>
      <w:r w:rsidRPr="006F6F53">
        <w:rPr>
          <w:sz w:val="20"/>
        </w:rPr>
        <w:t xml:space="preserve"> from 0.9 to 1.4 THz at (a) bias OFF and (b) bias saturated state, </w:t>
      </w:r>
      <w:r w:rsidRPr="006F6F53">
        <w:rPr>
          <w:sz w:val="20"/>
        </w:rPr>
        <w:lastRenderedPageBreak/>
        <w:t xml:space="preserve">respectively. </w:t>
      </w:r>
      <w:r>
        <w:rPr>
          <w:sz w:val="20"/>
        </w:rPr>
        <w:t>(</w:t>
      </w:r>
      <w:r w:rsidRPr="006F6F53">
        <w:rPr>
          <w:sz w:val="20"/>
        </w:rPr>
        <w:t xml:space="preserve">c) Dependency of </w:t>
      </w:r>
      <w:r w:rsidRPr="006F6F53">
        <w:rPr>
          <w:i/>
          <w:sz w:val="20"/>
        </w:rPr>
        <w:t>F</w:t>
      </w:r>
      <w:r w:rsidRPr="006F6F53">
        <w:rPr>
          <w:sz w:val="20"/>
        </w:rPr>
        <w:t xml:space="preserve"> on </w:t>
      </w:r>
      <w:r w:rsidRPr="006F6F53">
        <w:rPr>
          <w:i/>
          <w:sz w:val="20"/>
        </w:rPr>
        <w:t>f</w:t>
      </w:r>
      <w:r w:rsidRPr="006F6F53">
        <w:rPr>
          <w:sz w:val="20"/>
        </w:rPr>
        <w:t xml:space="preserve"> with </w:t>
      </w:r>
      <w:r w:rsidRPr="006F6F53">
        <w:rPr>
          <w:i/>
          <w:sz w:val="20"/>
        </w:rPr>
        <w:t>h</w:t>
      </w:r>
      <w:r w:rsidRPr="006F6F53">
        <w:rPr>
          <w:sz w:val="20"/>
        </w:rPr>
        <w:t xml:space="preserve"> = 300 </w:t>
      </w:r>
      <w:proofErr w:type="spellStart"/>
      <w:r w:rsidRPr="006F6F53">
        <w:rPr>
          <w:sz w:val="20"/>
        </w:rPr>
        <w:t>μm</w:t>
      </w:r>
      <w:proofErr w:type="spellEnd"/>
      <w:r w:rsidRPr="006F6F53">
        <w:rPr>
          <w:sz w:val="20"/>
        </w:rPr>
        <w:t xml:space="preserve">. </w:t>
      </w:r>
      <w:r>
        <w:rPr>
          <w:sz w:val="20"/>
        </w:rPr>
        <w:t>(</w:t>
      </w:r>
      <w:proofErr w:type="gramStart"/>
      <w:r w:rsidRPr="006F6F53">
        <w:rPr>
          <w:sz w:val="20"/>
        </w:rPr>
        <w:t>d</w:t>
      </w:r>
      <w:proofErr w:type="gramEnd"/>
      <w:r w:rsidRPr="006F6F53">
        <w:rPr>
          <w:sz w:val="20"/>
        </w:rPr>
        <w:t xml:space="preserve">, e) Simulated intensity distributions in the </w:t>
      </w:r>
      <w:proofErr w:type="spellStart"/>
      <w:r w:rsidRPr="006F6F53">
        <w:rPr>
          <w:i/>
          <w:iCs/>
          <w:sz w:val="20"/>
        </w:rPr>
        <w:t>xz</w:t>
      </w:r>
      <w:proofErr w:type="spellEnd"/>
      <w:r w:rsidRPr="006F6F53">
        <w:rPr>
          <w:sz w:val="20"/>
        </w:rPr>
        <w:t xml:space="preserve">-plane with </w:t>
      </w:r>
      <w:r w:rsidRPr="006F6F53">
        <w:rPr>
          <w:i/>
          <w:sz w:val="20"/>
        </w:rPr>
        <w:t>h</w:t>
      </w:r>
      <w:r w:rsidRPr="006F6F53">
        <w:rPr>
          <w:sz w:val="20"/>
        </w:rPr>
        <w:t xml:space="preserve"> = 400 </w:t>
      </w:r>
      <w:proofErr w:type="spellStart"/>
      <w:r w:rsidRPr="006F6F53">
        <w:rPr>
          <w:sz w:val="20"/>
        </w:rPr>
        <w:t>μm</w:t>
      </w:r>
      <w:proofErr w:type="spellEnd"/>
      <w:r w:rsidRPr="006F6F53">
        <w:rPr>
          <w:sz w:val="20"/>
        </w:rPr>
        <w:t xml:space="preserve"> from 0.9 to 1.4 THz at (d) bias OFF and (e) bias saturated state, respectively. </w:t>
      </w:r>
      <w:r>
        <w:rPr>
          <w:sz w:val="20"/>
        </w:rPr>
        <w:t>(</w:t>
      </w:r>
      <w:r w:rsidRPr="006F6F53">
        <w:rPr>
          <w:sz w:val="20"/>
        </w:rPr>
        <w:t xml:space="preserve">f) Dependency of </w:t>
      </w:r>
      <w:r w:rsidRPr="006F6F53">
        <w:rPr>
          <w:i/>
          <w:sz w:val="20"/>
        </w:rPr>
        <w:t>F</w:t>
      </w:r>
      <w:r w:rsidRPr="006F6F53">
        <w:rPr>
          <w:sz w:val="20"/>
        </w:rPr>
        <w:t xml:space="preserve"> on </w:t>
      </w:r>
      <w:r w:rsidRPr="006F6F53">
        <w:rPr>
          <w:i/>
          <w:sz w:val="20"/>
        </w:rPr>
        <w:t>f</w:t>
      </w:r>
      <w:r w:rsidRPr="006F6F53">
        <w:rPr>
          <w:sz w:val="20"/>
        </w:rPr>
        <w:t xml:space="preserve"> with </w:t>
      </w:r>
      <w:r w:rsidRPr="006F6F53">
        <w:rPr>
          <w:i/>
          <w:sz w:val="20"/>
        </w:rPr>
        <w:t>h</w:t>
      </w:r>
      <w:r w:rsidRPr="006F6F53">
        <w:rPr>
          <w:sz w:val="20"/>
        </w:rPr>
        <w:t xml:space="preserve"> = 400 </w:t>
      </w:r>
      <w:proofErr w:type="spellStart"/>
      <w:r w:rsidRPr="006F6F53">
        <w:rPr>
          <w:sz w:val="20"/>
        </w:rPr>
        <w:t>μm</w:t>
      </w:r>
      <w:proofErr w:type="spellEnd"/>
      <w:r w:rsidRPr="006F6F53">
        <w:rPr>
          <w:sz w:val="20"/>
        </w:rPr>
        <w:t>.</w:t>
      </w:r>
    </w:p>
    <w:p w14:paraId="08F6A264" w14:textId="77777777" w:rsidR="00A8616F" w:rsidRPr="00F55C93" w:rsidRDefault="00A8616F" w:rsidP="00A8616F">
      <w:pPr>
        <w:pStyle w:val="1"/>
      </w:pPr>
      <w:r w:rsidRPr="00F55C93">
        <w:t xml:space="preserve">Section </w:t>
      </w:r>
      <w:r>
        <w:t>S</w:t>
      </w:r>
      <w:r w:rsidRPr="00F55C93">
        <w:t>4: Factors that influence the device efficiency</w:t>
      </w:r>
    </w:p>
    <w:p w14:paraId="78C09830" w14:textId="77777777" w:rsidR="00A8616F" w:rsidRPr="00F55C93" w:rsidRDefault="00A8616F" w:rsidP="00A8616F">
      <w:pPr>
        <w:spacing w:line="480" w:lineRule="auto"/>
        <w:jc w:val="both"/>
        <w:rPr>
          <w:noProof/>
        </w:rPr>
      </w:pPr>
      <w:r w:rsidRPr="00F55C93">
        <w:rPr>
          <w:noProof/>
        </w:rPr>
        <w:t>The device efficiency is mainly influenced by the modulation efficiency of the meta-units and LCs, the THz absorption of the silica substrate and graphene and the imperfect fabrication. The efficiency of meta-units is related to the material and unit geometry, which can be improved via</w:t>
      </w:r>
      <w:r w:rsidRPr="00F55C93">
        <w:t xml:space="preserve"> increasing the aspect ratio or introducing asymmetric geometries</w:t>
      </w:r>
      <w:r w:rsidRPr="00F55C93">
        <w:rPr>
          <w:noProof/>
        </w:rPr>
        <w:t>.</w:t>
      </w:r>
      <w:r w:rsidRPr="00F55C93">
        <w:t xml:space="preserve"> </w:t>
      </w:r>
      <w:r w:rsidRPr="00F55C93">
        <w:rPr>
          <w:noProof/>
        </w:rPr>
        <w:t>The efficiency of LCs (</w:t>
      </w:r>
      <w:r w:rsidRPr="00F55C93">
        <w:rPr>
          <w:i/>
          <w:iCs/>
          <w:noProof/>
        </w:rPr>
        <w:t>η</w:t>
      </w:r>
      <w:r w:rsidRPr="00F55C93">
        <w:rPr>
          <w:iCs/>
          <w:noProof/>
        </w:rPr>
        <w:t xml:space="preserve">) </w:t>
      </w:r>
      <w:r w:rsidRPr="00F55C93">
        <w:rPr>
          <w:noProof/>
        </w:rPr>
        <w:t>is the product of two attributions: polarization conversion ratio (PCR) and the THz transmission, which can be expressed by</w:t>
      </w:r>
    </w:p>
    <w:p w14:paraId="0F9B73AD" w14:textId="77777777" w:rsidR="00A8616F" w:rsidRPr="00F55C93" w:rsidRDefault="00A8616F" w:rsidP="00A8616F">
      <w:pPr>
        <w:spacing w:line="480" w:lineRule="auto"/>
        <w:ind w:firstLineChars="200" w:firstLine="480"/>
        <w:jc w:val="right"/>
        <w:rPr>
          <w:noProof/>
        </w:rPr>
      </w:pPr>
      <w:r w:rsidRPr="00F55C93">
        <w:rPr>
          <w:noProof/>
        </w:rPr>
        <w:t xml:space="preserve">  </w:t>
      </w:r>
      <w:r w:rsidRPr="00F55C93">
        <w:rPr>
          <w:noProof/>
          <w:position w:val="-22"/>
        </w:rPr>
        <w:object w:dxaOrig="2360" w:dyaOrig="560" w14:anchorId="5B287AF0">
          <v:shape id="_x0000_i1026" type="#_x0000_t75" alt="" style="width:115.5pt;height:28.5pt;mso-width-percent:0;mso-height-percent:0;mso-width-percent:0;mso-height-percent:0" o:ole="">
            <v:imagedata r:id="rId19" o:title=""/>
          </v:shape>
          <o:OLEObject Type="Embed" ProgID="Equation.DSMT4" ShapeID="_x0000_i1026" DrawAspect="Content" ObjectID="_1649676502" r:id="rId20"/>
        </w:object>
      </w:r>
      <w:r w:rsidRPr="00F55C93">
        <w:rPr>
          <w:noProof/>
        </w:rPr>
        <w:t>,                                                (S2)</w:t>
      </w:r>
    </w:p>
    <w:p w14:paraId="59B15CFB" w14:textId="77777777" w:rsidR="00A8616F" w:rsidRPr="00F55C93" w:rsidRDefault="00A8616F" w:rsidP="00A8616F">
      <w:pPr>
        <w:spacing w:line="480" w:lineRule="auto"/>
        <w:jc w:val="both"/>
        <w:rPr>
          <w:noProof/>
        </w:rPr>
      </w:pPr>
      <w:r w:rsidRPr="00F55C93">
        <w:rPr>
          <w:noProof/>
        </w:rPr>
        <w:t xml:space="preserve">where </w:t>
      </w:r>
      <w:proofErr w:type="spellStart"/>
      <w:proofErr w:type="gramStart"/>
      <w:r w:rsidRPr="00F55C93">
        <w:rPr>
          <w:color w:val="333333"/>
          <w:shd w:val="clear" w:color="auto" w:fill="FFFFFF"/>
        </w:rPr>
        <w:t>Δ</w:t>
      </w:r>
      <w:r w:rsidRPr="00F55C93">
        <w:rPr>
          <w:i/>
          <w:iCs/>
          <w:color w:val="333333"/>
          <w:shd w:val="clear" w:color="auto" w:fill="FFFFFF"/>
        </w:rPr>
        <w:t>n</w:t>
      </w:r>
      <w:proofErr w:type="spellEnd"/>
      <w:proofErr w:type="gramEnd"/>
      <w:r w:rsidRPr="00F55C93">
        <w:rPr>
          <w:color w:val="333333"/>
          <w:shd w:val="clear" w:color="auto" w:fill="FFFFFF"/>
        </w:rPr>
        <w:t xml:space="preserve"> is the birefringence of LCs,</w:t>
      </w:r>
      <w:r w:rsidRPr="00F55C93">
        <w:rPr>
          <w:noProof/>
        </w:rPr>
        <w:t xml:space="preserve"> </w:t>
      </w:r>
      <w:r w:rsidRPr="00F55C93">
        <w:rPr>
          <w:i/>
          <w:iCs/>
          <w:noProof/>
        </w:rPr>
        <w:t>d</w:t>
      </w:r>
      <w:r w:rsidRPr="00F55C93">
        <w:rPr>
          <w:noProof/>
        </w:rPr>
        <w:t xml:space="preserve"> is the LC layer thickness and </w:t>
      </w:r>
      <w:r w:rsidRPr="00F55C93">
        <w:rPr>
          <w:i/>
          <w:iCs/>
          <w:noProof/>
        </w:rPr>
        <w:t>ĸ</w:t>
      </w:r>
      <w:r w:rsidRPr="00F55C93">
        <w:rPr>
          <w:noProof/>
        </w:rPr>
        <w:t xml:space="preserve"> = (</w:t>
      </w:r>
      <w:r w:rsidRPr="00F55C93">
        <w:rPr>
          <w:i/>
          <w:iCs/>
          <w:noProof/>
        </w:rPr>
        <w:t>ĸ</w:t>
      </w:r>
      <w:r w:rsidRPr="00F55C93">
        <w:rPr>
          <w:noProof/>
          <w:vertAlign w:val="subscript"/>
        </w:rPr>
        <w:t>o</w:t>
      </w:r>
      <w:r w:rsidRPr="00F55C93">
        <w:rPr>
          <w:noProof/>
        </w:rPr>
        <w:t xml:space="preserve"> + </w:t>
      </w:r>
      <w:r w:rsidRPr="00F55C93">
        <w:rPr>
          <w:i/>
          <w:iCs/>
          <w:noProof/>
        </w:rPr>
        <w:t>ĸ</w:t>
      </w:r>
      <w:r w:rsidRPr="00F55C93">
        <w:rPr>
          <w:noProof/>
          <w:vertAlign w:val="subscript"/>
        </w:rPr>
        <w:t>e</w:t>
      </w:r>
      <w:r w:rsidRPr="00F55C93">
        <w:rPr>
          <w:noProof/>
        </w:rPr>
        <w:t xml:space="preserve">)/2 is the average absorption coefficient. The former item in </w:t>
      </w:r>
      <w:r>
        <w:rPr>
          <w:noProof/>
        </w:rPr>
        <w:t>Equation</w:t>
      </w:r>
      <w:r w:rsidRPr="00F55C93">
        <w:rPr>
          <w:noProof/>
        </w:rPr>
        <w:t xml:space="preserve"> </w:t>
      </w:r>
      <w:r>
        <w:rPr>
          <w:noProof/>
        </w:rPr>
        <w:t>(</w:t>
      </w:r>
      <w:r w:rsidRPr="00F55C93">
        <w:rPr>
          <w:noProof/>
        </w:rPr>
        <w:t>S2</w:t>
      </w:r>
      <w:r>
        <w:rPr>
          <w:noProof/>
        </w:rPr>
        <w:t>)</w:t>
      </w:r>
      <w:r w:rsidRPr="00F55C93">
        <w:rPr>
          <w:noProof/>
        </w:rPr>
        <w:t xml:space="preserve"> denotes the PCR and the latter describes the absorption loss (or transmission). From </w:t>
      </w:r>
      <w:r>
        <w:rPr>
          <w:noProof/>
        </w:rPr>
        <w:t>Equation</w:t>
      </w:r>
      <w:r w:rsidRPr="00F55C93">
        <w:rPr>
          <w:noProof/>
        </w:rPr>
        <w:t xml:space="preserve"> </w:t>
      </w:r>
      <w:r>
        <w:rPr>
          <w:noProof/>
        </w:rPr>
        <w:t>(</w:t>
      </w:r>
      <w:r w:rsidRPr="00F55C93">
        <w:rPr>
          <w:noProof/>
        </w:rPr>
        <w:t>S2</w:t>
      </w:r>
      <w:r>
        <w:rPr>
          <w:noProof/>
        </w:rPr>
        <w:t>)</w:t>
      </w:r>
      <w:r w:rsidRPr="00F55C93">
        <w:rPr>
          <w:noProof/>
        </w:rPr>
        <w:t xml:space="preserve">, for a target </w:t>
      </w:r>
      <w:r w:rsidRPr="00F55C93">
        <w:rPr>
          <w:i/>
          <w:iCs/>
          <w:noProof/>
        </w:rPr>
        <w:t>f</w:t>
      </w:r>
      <w:r w:rsidRPr="00F55C93">
        <w:rPr>
          <w:noProof/>
        </w:rPr>
        <w:t xml:space="preserve"> (or </w:t>
      </w:r>
      <w:r w:rsidRPr="00F55C93">
        <w:rPr>
          <w:i/>
          <w:iCs/>
          <w:noProof/>
        </w:rPr>
        <w:t>λ</w:t>
      </w:r>
      <w:r w:rsidRPr="00F55C93">
        <w:rPr>
          <w:noProof/>
        </w:rPr>
        <w:t xml:space="preserve">), </w:t>
      </w:r>
      <w:r w:rsidRPr="00F55C93">
        <w:rPr>
          <w:i/>
          <w:iCs/>
          <w:noProof/>
        </w:rPr>
        <w:t>η</w:t>
      </w:r>
      <w:r w:rsidRPr="00F55C93">
        <w:rPr>
          <w:noProof/>
        </w:rPr>
        <w:t xml:space="preserve"> can be optimized via adjusting </w:t>
      </w:r>
      <w:r w:rsidRPr="00F55C93">
        <w:rPr>
          <w:i/>
          <w:iCs/>
          <w:noProof/>
        </w:rPr>
        <w:t>d</w:t>
      </w:r>
      <w:r w:rsidRPr="00F55C93">
        <w:rPr>
          <w:noProof/>
        </w:rPr>
        <w:t xml:space="preserve">. The LC NJU-LDn-4 adopted here possesses a very low </w:t>
      </w:r>
      <w:r w:rsidRPr="00F55C93">
        <w:rPr>
          <w:i/>
          <w:iCs/>
          <w:noProof/>
        </w:rPr>
        <w:t>ĸ</w:t>
      </w:r>
      <w:r w:rsidRPr="00F55C93">
        <w:rPr>
          <w:noProof/>
        </w:rPr>
        <w:t xml:space="preserve"> and the absorption can be neglected. Thus </w:t>
      </w:r>
      <w:r w:rsidRPr="00F55C93">
        <w:rPr>
          <w:i/>
          <w:iCs/>
          <w:noProof/>
        </w:rPr>
        <w:t>η</w:t>
      </w:r>
      <w:r w:rsidRPr="00F55C93">
        <w:rPr>
          <w:noProof/>
        </w:rPr>
        <w:t xml:space="preserve"> is mainly related to </w:t>
      </w:r>
      <w:proofErr w:type="spellStart"/>
      <w:proofErr w:type="gramStart"/>
      <w:r w:rsidRPr="00F55C93">
        <w:rPr>
          <w:color w:val="333333"/>
          <w:shd w:val="clear" w:color="auto" w:fill="FFFFFF"/>
        </w:rPr>
        <w:t>Δ</w:t>
      </w:r>
      <w:r w:rsidRPr="00F55C93">
        <w:rPr>
          <w:i/>
          <w:iCs/>
          <w:color w:val="333333"/>
          <w:shd w:val="clear" w:color="auto" w:fill="FFFFFF"/>
        </w:rPr>
        <w:t>n</w:t>
      </w:r>
      <w:proofErr w:type="spellEnd"/>
      <w:proofErr w:type="gramEnd"/>
      <w:r w:rsidRPr="00F55C93">
        <w:rPr>
          <w:noProof/>
        </w:rPr>
        <w:t xml:space="preserve"> and </w:t>
      </w:r>
      <w:r w:rsidRPr="00F55C93">
        <w:rPr>
          <w:i/>
          <w:iCs/>
          <w:noProof/>
        </w:rPr>
        <w:t>d</w:t>
      </w:r>
      <w:r w:rsidRPr="00F55C93">
        <w:rPr>
          <w:noProof/>
        </w:rPr>
        <w:t xml:space="preserve">. The refractive indices and </w:t>
      </w:r>
      <w:proofErr w:type="spellStart"/>
      <w:proofErr w:type="gramStart"/>
      <w:r w:rsidRPr="00F55C93">
        <w:rPr>
          <w:color w:val="333333"/>
          <w:shd w:val="clear" w:color="auto" w:fill="FFFFFF"/>
        </w:rPr>
        <w:t>Δ</w:t>
      </w:r>
      <w:r w:rsidRPr="00F55C93">
        <w:rPr>
          <w:i/>
          <w:iCs/>
          <w:color w:val="333333"/>
          <w:shd w:val="clear" w:color="auto" w:fill="FFFFFF"/>
        </w:rPr>
        <w:t>n</w:t>
      </w:r>
      <w:proofErr w:type="spellEnd"/>
      <w:proofErr w:type="gramEnd"/>
      <w:r w:rsidRPr="00F55C93">
        <w:rPr>
          <w:noProof/>
        </w:rPr>
        <w:t xml:space="preserve"> of NJU-LDn-4 are shown in Fig. S7(a). Here, </w:t>
      </w:r>
      <w:r w:rsidRPr="00F55C93">
        <w:rPr>
          <w:i/>
          <w:iCs/>
          <w:noProof/>
        </w:rPr>
        <w:t>d</w:t>
      </w:r>
      <w:r w:rsidRPr="00F55C93">
        <w:rPr>
          <w:noProof/>
        </w:rPr>
        <w:t xml:space="preserve"> is chosen to be 250 </w:t>
      </w:r>
      <w:proofErr w:type="spellStart"/>
      <w:r w:rsidRPr="00F55C93">
        <w:t>μm</w:t>
      </w:r>
      <w:proofErr w:type="spellEnd"/>
      <w:r w:rsidRPr="00F55C93">
        <w:t xml:space="preserve"> to achieve a balance between </w:t>
      </w:r>
      <w:r w:rsidRPr="00F55C93">
        <w:rPr>
          <w:noProof/>
        </w:rPr>
        <w:t>PCR and a good photopatterning quality. The measured THz absorption of the silica substrate and graphene is shown in Fig. S7(b). It can be improved via adopting substrates and transparent electrodes with higher transmittance.</w:t>
      </w:r>
    </w:p>
    <w:p w14:paraId="0448FEAD" w14:textId="77777777" w:rsidR="00A8616F" w:rsidRPr="00F55C93" w:rsidRDefault="00A8616F" w:rsidP="00A8616F">
      <w:pPr>
        <w:spacing w:line="480" w:lineRule="auto"/>
        <w:ind w:firstLineChars="200" w:firstLine="480"/>
        <w:jc w:val="center"/>
      </w:pPr>
      <w:r w:rsidRPr="00F55C93">
        <w:rPr>
          <w:noProof/>
          <w:lang w:eastAsia="zh-CN"/>
        </w:rPr>
        <w:lastRenderedPageBreak/>
        <w:drawing>
          <wp:inline distT="0" distB="0" distL="0" distR="0" wp14:anchorId="44B6EFDF" wp14:editId="391D1BE6">
            <wp:extent cx="4765113" cy="1728000"/>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32" t="6855" r="5044" b="2166"/>
                    <a:stretch/>
                  </pic:blipFill>
                  <pic:spPr bwMode="auto">
                    <a:xfrm>
                      <a:off x="0" y="0"/>
                      <a:ext cx="4765113"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F5EDF20" w14:textId="51A7CA16" w:rsidR="00A8616F" w:rsidRPr="00F55C93" w:rsidRDefault="00A8616F" w:rsidP="00A8616F">
      <w:pPr>
        <w:spacing w:after="240" w:line="360" w:lineRule="auto"/>
        <w:jc w:val="both"/>
      </w:pPr>
      <w:r w:rsidRPr="006F6F53">
        <w:rPr>
          <w:b/>
          <w:sz w:val="20"/>
        </w:rPr>
        <w:t>Fig</w:t>
      </w:r>
      <w:r>
        <w:rPr>
          <w:b/>
          <w:sz w:val="20"/>
        </w:rPr>
        <w:t>. S7</w:t>
      </w:r>
      <w:r w:rsidRPr="006F6F53">
        <w:rPr>
          <w:sz w:val="20"/>
        </w:rPr>
        <w:t xml:space="preserve"> </w:t>
      </w:r>
      <w:r>
        <w:rPr>
          <w:sz w:val="20"/>
        </w:rPr>
        <w:t>(</w:t>
      </w:r>
      <w:r w:rsidRPr="006F6F53">
        <w:rPr>
          <w:sz w:val="20"/>
        </w:rPr>
        <w:t xml:space="preserve">a) Measured </w:t>
      </w:r>
      <w:r w:rsidRPr="006F6F53">
        <w:rPr>
          <w:i/>
          <w:sz w:val="20"/>
        </w:rPr>
        <w:t>n</w:t>
      </w:r>
      <w:r w:rsidRPr="006F6F53">
        <w:rPr>
          <w:sz w:val="20"/>
          <w:vertAlign w:val="subscript"/>
        </w:rPr>
        <w:t>o</w:t>
      </w:r>
      <w:r w:rsidRPr="006F6F53">
        <w:rPr>
          <w:sz w:val="20"/>
        </w:rPr>
        <w:t xml:space="preserve"> (red curve) and </w:t>
      </w:r>
      <w:r w:rsidRPr="006F6F53">
        <w:rPr>
          <w:i/>
          <w:sz w:val="20"/>
        </w:rPr>
        <w:t>n</w:t>
      </w:r>
      <w:r w:rsidRPr="006F6F53">
        <w:rPr>
          <w:sz w:val="20"/>
          <w:vertAlign w:val="subscript"/>
        </w:rPr>
        <w:t>e</w:t>
      </w:r>
      <w:r w:rsidRPr="006F6F53">
        <w:rPr>
          <w:sz w:val="20"/>
        </w:rPr>
        <w:t xml:space="preserve"> (blue curve) and ∆</w:t>
      </w:r>
      <w:r w:rsidRPr="006F6F53">
        <w:rPr>
          <w:i/>
          <w:sz w:val="20"/>
        </w:rPr>
        <w:t>n</w:t>
      </w:r>
      <w:r w:rsidRPr="006F6F53">
        <w:rPr>
          <w:sz w:val="20"/>
        </w:rPr>
        <w:t xml:space="preserve"> (∆</w:t>
      </w:r>
      <w:r w:rsidRPr="006F6F53">
        <w:rPr>
          <w:i/>
          <w:sz w:val="20"/>
        </w:rPr>
        <w:t>n</w:t>
      </w:r>
      <w:r w:rsidRPr="006F6F53">
        <w:rPr>
          <w:sz w:val="20"/>
        </w:rPr>
        <w:t xml:space="preserve"> = </w:t>
      </w:r>
      <w:r w:rsidRPr="006F6F53">
        <w:rPr>
          <w:i/>
          <w:sz w:val="20"/>
        </w:rPr>
        <w:t>n</w:t>
      </w:r>
      <w:r w:rsidRPr="006F6F53">
        <w:rPr>
          <w:sz w:val="20"/>
          <w:vertAlign w:val="subscript"/>
        </w:rPr>
        <w:t>e</w:t>
      </w:r>
      <w:r w:rsidRPr="006F6F53">
        <w:rPr>
          <w:sz w:val="20"/>
        </w:rPr>
        <w:t xml:space="preserve"> - </w:t>
      </w:r>
      <w:r w:rsidRPr="006F6F53">
        <w:rPr>
          <w:i/>
          <w:sz w:val="20"/>
        </w:rPr>
        <w:t>n</w:t>
      </w:r>
      <w:r w:rsidRPr="006F6F53">
        <w:rPr>
          <w:sz w:val="20"/>
          <w:vertAlign w:val="subscript"/>
        </w:rPr>
        <w:t>o</w:t>
      </w:r>
      <w:r w:rsidRPr="006F6F53">
        <w:rPr>
          <w:sz w:val="20"/>
        </w:rPr>
        <w:t xml:space="preserve">; black dashed curve) of LC NJU-LDn-4 from 0.9 to 1.4 THz. </w:t>
      </w:r>
      <w:r>
        <w:rPr>
          <w:sz w:val="20"/>
        </w:rPr>
        <w:t>(</w:t>
      </w:r>
      <w:r w:rsidRPr="006F6F53">
        <w:rPr>
          <w:sz w:val="20"/>
        </w:rPr>
        <w:t>b) Transmittance of a 500-μm-thick silica substrate with (red curve) and without (blue curve) few-layer graphene from 0.9 to 1.4 THz.</w:t>
      </w:r>
    </w:p>
    <w:p w14:paraId="75A2DC3D" w14:textId="77777777" w:rsidR="00A8616F" w:rsidRPr="00F55C93" w:rsidRDefault="00A8616F" w:rsidP="00A8616F">
      <w:pPr>
        <w:pStyle w:val="1"/>
      </w:pPr>
      <w:r w:rsidRPr="00F55C93">
        <w:t xml:space="preserve">Section </w:t>
      </w:r>
      <w:r>
        <w:t>S</w:t>
      </w:r>
      <w:r w:rsidRPr="00F55C93">
        <w:t>5: A beam deflector with switchable dispersion</w:t>
      </w:r>
    </w:p>
    <w:p w14:paraId="03E7F5B1" w14:textId="77777777" w:rsidR="00A8616F" w:rsidRPr="00F55C93" w:rsidRDefault="00A8616F" w:rsidP="00A8616F">
      <w:pPr>
        <w:spacing w:line="480" w:lineRule="auto"/>
        <w:jc w:val="both"/>
      </w:pPr>
      <w:r w:rsidRPr="00F55C93">
        <w:rPr>
          <w:bCs/>
        </w:rPr>
        <w:t xml:space="preserve">As another example to verify the universality of the proposed strategy, a beam deflector is demonstrated here. The device (Fig. S8a) is composed of silicon pillars with varying dimensions along </w:t>
      </w:r>
      <w:r w:rsidRPr="00F55C93">
        <w:rPr>
          <w:bCs/>
          <w:i/>
        </w:rPr>
        <w:t>x</w:t>
      </w:r>
      <w:r w:rsidRPr="00F55C93">
        <w:rPr>
          <w:bCs/>
        </w:rPr>
        <w:t xml:space="preserve">-axis and LCs with gradient orientations. For an achromatic deflector, the phase distribution </w:t>
      </w:r>
      <w:proofErr w:type="spellStart"/>
      <w:r w:rsidRPr="00F55C93">
        <w:rPr>
          <w:i/>
        </w:rPr>
        <w:t>φ</w:t>
      </w:r>
      <w:r w:rsidRPr="00F55C93">
        <w:rPr>
          <w:vertAlign w:val="subscript"/>
        </w:rPr>
        <w:t>A</w:t>
      </w:r>
      <w:proofErr w:type="spellEnd"/>
      <w:r w:rsidRPr="00F55C93">
        <w:t xml:space="preserve"> is written as</w:t>
      </w:r>
    </w:p>
    <w:p w14:paraId="74C93F92" w14:textId="77777777" w:rsidR="00A8616F" w:rsidRPr="00F55C93" w:rsidRDefault="00A8616F" w:rsidP="00A8616F">
      <w:pPr>
        <w:spacing w:line="480" w:lineRule="auto"/>
        <w:ind w:firstLineChars="200" w:firstLine="480"/>
        <w:jc w:val="right"/>
        <w:rPr>
          <w:noProof/>
          <w:color w:val="000000" w:themeColor="text1"/>
        </w:rPr>
      </w:pPr>
      <w:r w:rsidRPr="00F55C93">
        <w:rPr>
          <w:noProof/>
          <w:color w:val="000000" w:themeColor="text1"/>
          <w:position w:val="-22"/>
        </w:rPr>
        <w:object w:dxaOrig="2760" w:dyaOrig="560" w14:anchorId="3B0123B4">
          <v:shape id="_x0000_i1027" type="#_x0000_t75" style="width:137pt;height:28.5pt" o:ole="">
            <v:imagedata r:id="rId22" o:title=""/>
          </v:shape>
          <o:OLEObject Type="Embed" ProgID="Equation.DSMT4" ShapeID="_x0000_i1027" DrawAspect="Content" ObjectID="_1649676503" r:id="rId23"/>
        </w:object>
      </w:r>
      <w:r w:rsidRPr="00F55C93">
        <w:rPr>
          <w:noProof/>
          <w:color w:val="000000" w:themeColor="text1"/>
        </w:rPr>
        <w:t>,                                            (S3)</w:t>
      </w:r>
    </w:p>
    <w:p w14:paraId="6798ADB0" w14:textId="77777777" w:rsidR="00A8616F" w:rsidRPr="00F55C93" w:rsidRDefault="00A8616F" w:rsidP="00A8616F">
      <w:pPr>
        <w:spacing w:line="480" w:lineRule="auto"/>
        <w:jc w:val="both"/>
        <w:rPr>
          <w:color w:val="000000" w:themeColor="text1"/>
        </w:rPr>
      </w:pPr>
      <w:r w:rsidRPr="00F55C93">
        <w:rPr>
          <w:noProof/>
          <w:color w:val="000000" w:themeColor="text1"/>
        </w:rPr>
        <w:t xml:space="preserve">where </w:t>
      </w:r>
      <w:r w:rsidRPr="00F55C93">
        <w:rPr>
          <w:i/>
          <w:noProof/>
          <w:color w:val="000000" w:themeColor="text1"/>
        </w:rPr>
        <w:t>x</w:t>
      </w:r>
      <w:r w:rsidRPr="00F55C93">
        <w:rPr>
          <w:noProof/>
          <w:color w:val="000000" w:themeColor="text1"/>
        </w:rPr>
        <w:t xml:space="preserve"> is an arbitrary position along </w:t>
      </w:r>
      <w:r w:rsidRPr="00F55C93">
        <w:rPr>
          <w:i/>
          <w:noProof/>
          <w:color w:val="000000" w:themeColor="text1"/>
        </w:rPr>
        <w:t>x</w:t>
      </w:r>
      <w:r w:rsidRPr="00F55C93">
        <w:rPr>
          <w:noProof/>
          <w:color w:val="000000" w:themeColor="text1"/>
        </w:rPr>
        <w:t xml:space="preserve">-axis and </w:t>
      </w:r>
      <w:r w:rsidRPr="00F55C93">
        <w:rPr>
          <w:i/>
          <w:noProof/>
          <w:color w:val="000000" w:themeColor="text1"/>
        </w:rPr>
        <w:t>θ</w:t>
      </w:r>
      <w:r w:rsidRPr="00F55C93">
        <w:rPr>
          <w:noProof/>
          <w:color w:val="000000" w:themeColor="text1"/>
        </w:rPr>
        <w:t xml:space="preserve"> is the deflection angle.</w:t>
      </w:r>
      <w:r w:rsidRPr="00F55C93">
        <w:rPr>
          <w:color w:val="000000" w:themeColor="text1"/>
        </w:rPr>
        <w:t xml:space="preserve"> If</w:t>
      </w:r>
      <w:bookmarkStart w:id="0" w:name="_GoBack"/>
      <w:bookmarkEnd w:id="0"/>
      <w:r w:rsidRPr="00F55C93">
        <w:rPr>
          <w:color w:val="000000" w:themeColor="text1"/>
        </w:rPr>
        <w:t xml:space="preserve"> ∆</w:t>
      </w:r>
      <w:r w:rsidRPr="00F55C93">
        <w:rPr>
          <w:i/>
          <w:iCs/>
          <w:color w:val="000000" w:themeColor="text1"/>
        </w:rPr>
        <w:t>φ</w:t>
      </w:r>
      <w:r w:rsidRPr="00F55C93">
        <w:rPr>
          <w:color w:val="000000" w:themeColor="text1"/>
        </w:rPr>
        <w:t xml:space="preserve"> = </w:t>
      </w:r>
      <w:proofErr w:type="spellStart"/>
      <w:r w:rsidRPr="00F55C93">
        <w:rPr>
          <w:i/>
          <w:iCs/>
          <w:color w:val="000000" w:themeColor="text1"/>
        </w:rPr>
        <w:t>kf</w:t>
      </w:r>
      <w:r w:rsidRPr="00F55C93">
        <w:rPr>
          <w:color w:val="000000" w:themeColor="text1"/>
        </w:rPr>
        <w:t>+</w:t>
      </w:r>
      <w:r w:rsidRPr="00F55C93">
        <w:rPr>
          <w:i/>
          <w:iCs/>
          <w:color w:val="000000" w:themeColor="text1"/>
        </w:rPr>
        <w:t>d</w:t>
      </w:r>
      <w:proofErr w:type="spellEnd"/>
      <w:r w:rsidRPr="00F55C93">
        <w:rPr>
          <w:color w:val="000000" w:themeColor="text1"/>
        </w:rPr>
        <w:t xml:space="preserve"> (</w:t>
      </w:r>
      <w:r w:rsidRPr="00F55C93">
        <w:rPr>
          <w:i/>
          <w:iCs/>
          <w:color w:val="000000" w:themeColor="text1"/>
        </w:rPr>
        <w:t>k</w:t>
      </w:r>
      <w:r w:rsidRPr="00F55C93">
        <w:rPr>
          <w:color w:val="000000" w:themeColor="text1"/>
        </w:rPr>
        <w:t xml:space="preserve"> and </w:t>
      </w:r>
      <w:proofErr w:type="spellStart"/>
      <w:r w:rsidRPr="00F55C93">
        <w:rPr>
          <w:i/>
          <w:iCs/>
          <w:color w:val="000000" w:themeColor="text1"/>
        </w:rPr>
        <w:t>d</w:t>
      </w:r>
      <w:r w:rsidRPr="00F55C93">
        <w:rPr>
          <w:color w:val="000000" w:themeColor="text1"/>
        </w:rPr>
        <w:t xml:space="preserve"> are</w:t>
      </w:r>
      <w:proofErr w:type="spellEnd"/>
      <w:r w:rsidRPr="00F55C93">
        <w:rPr>
          <w:color w:val="000000" w:themeColor="text1"/>
        </w:rPr>
        <w:t xml:space="preserve"> constants), </w:t>
      </w:r>
      <w:proofErr w:type="spellStart"/>
      <w:r w:rsidRPr="00F55C93">
        <w:rPr>
          <w:i/>
          <w:iCs/>
          <w:color w:val="000000" w:themeColor="text1"/>
        </w:rPr>
        <w:t>φ</w:t>
      </w:r>
      <w:r w:rsidRPr="00F55C93">
        <w:rPr>
          <w:color w:val="000000" w:themeColor="text1"/>
          <w:vertAlign w:val="subscript"/>
        </w:rPr>
        <w:t>A</w:t>
      </w:r>
      <w:proofErr w:type="spellEnd"/>
      <w:r w:rsidRPr="00F55C93">
        <w:rPr>
          <w:color w:val="000000" w:themeColor="text1"/>
        </w:rPr>
        <w:t xml:space="preserve"> can be converted to</w:t>
      </w:r>
    </w:p>
    <w:p w14:paraId="674C1745" w14:textId="77777777" w:rsidR="00A8616F" w:rsidRPr="00F55C93" w:rsidRDefault="00A8616F" w:rsidP="00A8616F">
      <w:pPr>
        <w:spacing w:line="480" w:lineRule="auto"/>
        <w:ind w:firstLineChars="200" w:firstLine="480"/>
        <w:jc w:val="right"/>
        <w:rPr>
          <w:noProof/>
          <w:color w:val="000000" w:themeColor="text1"/>
        </w:rPr>
      </w:pPr>
      <w:r w:rsidRPr="00F55C93">
        <w:rPr>
          <w:noProof/>
          <w:color w:val="000000" w:themeColor="text1"/>
          <w:position w:val="-24"/>
        </w:rPr>
        <w:object w:dxaOrig="2680" w:dyaOrig="580" w14:anchorId="35C3740D">
          <v:shape id="_x0000_i1028" type="#_x0000_t75" style="width:137pt;height:28.5pt" o:ole="">
            <v:imagedata r:id="rId24" o:title=""/>
          </v:shape>
          <o:OLEObject Type="Embed" ProgID="Equation.DSMT4" ShapeID="_x0000_i1028" DrawAspect="Content" ObjectID="_1649676504" r:id="rId25"/>
        </w:object>
      </w:r>
      <w:r w:rsidRPr="00F55C93">
        <w:rPr>
          <w:noProof/>
          <w:color w:val="000000" w:themeColor="text1"/>
        </w:rPr>
        <w:t>.                                             (S4)</w:t>
      </w:r>
    </w:p>
    <w:p w14:paraId="6D25A634" w14:textId="77777777" w:rsidR="00A8616F" w:rsidRPr="00F55C93" w:rsidRDefault="00A8616F" w:rsidP="00A8616F">
      <w:pPr>
        <w:spacing w:line="480" w:lineRule="auto"/>
        <w:jc w:val="both"/>
        <w:rPr>
          <w:bCs/>
        </w:rPr>
      </w:pPr>
      <w:r w:rsidRPr="00F55C93">
        <w:rPr>
          <w:noProof/>
          <w:color w:val="000000" w:themeColor="text1"/>
        </w:rPr>
        <w:t xml:space="preserve">The former item in </w:t>
      </w:r>
      <w:r>
        <w:rPr>
          <w:noProof/>
          <w:color w:val="000000" w:themeColor="text1"/>
        </w:rPr>
        <w:t>Equation</w:t>
      </w:r>
      <w:r w:rsidRPr="00F55C93">
        <w:rPr>
          <w:noProof/>
          <w:color w:val="000000" w:themeColor="text1"/>
        </w:rPr>
        <w:t xml:space="preserve"> </w:t>
      </w:r>
      <w:r>
        <w:rPr>
          <w:noProof/>
          <w:color w:val="000000" w:themeColor="text1"/>
        </w:rPr>
        <w:t>(</w:t>
      </w:r>
      <w:r w:rsidRPr="00F55C93">
        <w:rPr>
          <w:noProof/>
          <w:color w:val="000000" w:themeColor="text1"/>
        </w:rPr>
        <w:t>S4</w:t>
      </w:r>
      <w:r>
        <w:rPr>
          <w:noProof/>
          <w:color w:val="000000" w:themeColor="text1"/>
        </w:rPr>
        <w:t>)</w:t>
      </w:r>
      <w:r w:rsidRPr="00F55C93">
        <w:rPr>
          <w:noProof/>
          <w:color w:val="000000" w:themeColor="text1"/>
        </w:rPr>
        <w:t xml:space="preserve"> is accomplised by the </w:t>
      </w:r>
      <w:proofErr w:type="spellStart"/>
      <w:proofErr w:type="gramStart"/>
      <w:r w:rsidRPr="00F55C93">
        <w:rPr>
          <w:i/>
        </w:rPr>
        <w:t>φ</w:t>
      </w:r>
      <w:r w:rsidRPr="00F55C93">
        <w:rPr>
          <w:vertAlign w:val="subscript"/>
        </w:rPr>
        <w:t>R</w:t>
      </w:r>
      <w:proofErr w:type="spellEnd"/>
      <w:proofErr w:type="gramEnd"/>
      <w:r w:rsidRPr="00F55C93">
        <w:t xml:space="preserve"> while the residual </w:t>
      </w:r>
      <w:r w:rsidRPr="00F55C93">
        <w:rPr>
          <w:i/>
        </w:rPr>
        <w:t>d</w:t>
      </w:r>
      <w:r w:rsidRPr="00F55C93">
        <w:t xml:space="preserve"> is achieved by the </w:t>
      </w:r>
      <w:proofErr w:type="spellStart"/>
      <w:r w:rsidRPr="00F55C93">
        <w:rPr>
          <w:i/>
        </w:rPr>
        <w:t>φ</w:t>
      </w:r>
      <w:r w:rsidRPr="00F55C93">
        <w:rPr>
          <w:vertAlign w:val="subscript"/>
        </w:rPr>
        <w:t>G</w:t>
      </w:r>
      <w:proofErr w:type="spellEnd"/>
      <w:r w:rsidRPr="00F55C93">
        <w:t xml:space="preserve">. </w:t>
      </w:r>
      <w:r w:rsidRPr="00F55C93">
        <w:rPr>
          <w:noProof/>
          <w:color w:val="000000" w:themeColor="text1"/>
        </w:rPr>
        <w:t xml:space="preserve">The achromatic </w:t>
      </w:r>
      <w:r w:rsidRPr="00F55C93">
        <w:rPr>
          <w:i/>
          <w:noProof/>
          <w:color w:val="000000" w:themeColor="text1"/>
        </w:rPr>
        <w:t>θ</w:t>
      </w:r>
      <w:r w:rsidRPr="00F55C93">
        <w:rPr>
          <w:noProof/>
          <w:color w:val="000000" w:themeColor="text1"/>
        </w:rPr>
        <w:t xml:space="preserve"> is designed to be 17.0° in the spectrum from 0.9 to 1.4 THz. </w:t>
      </w:r>
      <w:r w:rsidRPr="00F55C93">
        <w:t xml:space="preserve">According to the same design illustrated in the main text, silicon pillars with </w:t>
      </w:r>
      <w:r w:rsidRPr="00F55C93">
        <w:rPr>
          <w:i/>
        </w:rPr>
        <w:t>p</w:t>
      </w:r>
      <w:r w:rsidRPr="00F55C93">
        <w:t xml:space="preserve"> = 60 </w:t>
      </w:r>
      <w:proofErr w:type="spellStart"/>
      <w:r w:rsidRPr="00F55C93">
        <w:t>μm</w:t>
      </w:r>
      <w:proofErr w:type="spellEnd"/>
      <w:r w:rsidRPr="00F55C93">
        <w:t xml:space="preserve"> and </w:t>
      </w:r>
      <w:r w:rsidRPr="00F55C93">
        <w:rPr>
          <w:i/>
        </w:rPr>
        <w:t>h</w:t>
      </w:r>
      <w:r w:rsidRPr="00F55C93">
        <w:t xml:space="preserve"> = 500 </w:t>
      </w:r>
      <w:proofErr w:type="spellStart"/>
      <w:r w:rsidRPr="00F55C93">
        <w:t>μm</w:t>
      </w:r>
      <w:proofErr w:type="spellEnd"/>
      <w:r w:rsidRPr="00F55C93">
        <w:t xml:space="preserve"> (aimed to achieve a large dispersion compensation to increase the total unit number of the device) and varying </w:t>
      </w:r>
      <w:r w:rsidRPr="00F55C93">
        <w:rPr>
          <w:i/>
        </w:rPr>
        <w:t>l</w:t>
      </w:r>
      <w:r w:rsidRPr="00F55C93">
        <w:t xml:space="preserve"> and </w:t>
      </w:r>
      <w:proofErr w:type="spellStart"/>
      <w:r w:rsidRPr="00F55C93">
        <w:rPr>
          <w:i/>
        </w:rPr>
        <w:t>w</w:t>
      </w:r>
      <w:proofErr w:type="spellEnd"/>
      <w:r w:rsidRPr="00F55C93">
        <w:t xml:space="preserve"> are selected and arranged in the corresponding </w:t>
      </w:r>
      <w:r w:rsidRPr="00F55C93">
        <w:rPr>
          <w:i/>
        </w:rPr>
        <w:t>x</w:t>
      </w:r>
      <w:r w:rsidRPr="00F55C93">
        <w:t xml:space="preserve">-position. The deflector contains </w:t>
      </w:r>
      <w:r w:rsidRPr="00F55C93">
        <w:lastRenderedPageBreak/>
        <w:t xml:space="preserve">63 meta-units with the dimension of each unit shown in Fig. S8b. According to the </w:t>
      </w:r>
      <w:proofErr w:type="spellStart"/>
      <w:r w:rsidRPr="00F55C93">
        <w:rPr>
          <w:i/>
        </w:rPr>
        <w:t>φ</w:t>
      </w:r>
      <w:r w:rsidRPr="00F55C93">
        <w:rPr>
          <w:vertAlign w:val="subscript"/>
        </w:rPr>
        <w:t>A</w:t>
      </w:r>
      <w:proofErr w:type="spellEnd"/>
      <w:r w:rsidRPr="00F55C93">
        <w:t xml:space="preserve"> and </w:t>
      </w:r>
      <w:proofErr w:type="spellStart"/>
      <w:proofErr w:type="gramStart"/>
      <w:r w:rsidRPr="00F55C93">
        <w:rPr>
          <w:i/>
        </w:rPr>
        <w:t>φ</w:t>
      </w:r>
      <w:r w:rsidRPr="00F55C93">
        <w:rPr>
          <w:vertAlign w:val="subscript"/>
        </w:rPr>
        <w:t>R</w:t>
      </w:r>
      <w:proofErr w:type="spellEnd"/>
      <w:proofErr w:type="gramEnd"/>
      <w:r w:rsidRPr="00F55C93">
        <w:t xml:space="preserve">, the residual </w:t>
      </w:r>
      <w:proofErr w:type="spellStart"/>
      <w:r w:rsidRPr="00F55C93">
        <w:rPr>
          <w:i/>
        </w:rPr>
        <w:t>φ</w:t>
      </w:r>
      <w:r w:rsidRPr="00F55C93">
        <w:rPr>
          <w:vertAlign w:val="subscript"/>
        </w:rPr>
        <w:t>G</w:t>
      </w:r>
      <w:proofErr w:type="spellEnd"/>
      <w:r w:rsidRPr="00F55C93">
        <w:t xml:space="preserve"> is obtained and corresponding LC orientation angle (</w:t>
      </w:r>
      <w:proofErr w:type="spellStart"/>
      <w:r w:rsidRPr="00F55C93">
        <w:rPr>
          <w:i/>
        </w:rPr>
        <w:t>φ</w:t>
      </w:r>
      <w:r w:rsidRPr="00F55C93">
        <w:rPr>
          <w:vertAlign w:val="subscript"/>
        </w:rPr>
        <w:t>G</w:t>
      </w:r>
      <w:proofErr w:type="spellEnd"/>
      <w:r w:rsidRPr="00F55C93">
        <w:t>/2) is presented in Fig. S8c. As two examples,</w:t>
      </w:r>
      <w:r w:rsidRPr="00F55C93">
        <w:rPr>
          <w:i/>
        </w:rPr>
        <w:t xml:space="preserve"> </w:t>
      </w:r>
      <w:proofErr w:type="spellStart"/>
      <w:r w:rsidRPr="00F55C93">
        <w:rPr>
          <w:i/>
        </w:rPr>
        <w:t>φ</w:t>
      </w:r>
      <w:r w:rsidRPr="00F55C93">
        <w:rPr>
          <w:vertAlign w:val="subscript"/>
        </w:rPr>
        <w:t>A</w:t>
      </w:r>
      <w:proofErr w:type="spellEnd"/>
      <w:r w:rsidRPr="00F55C93">
        <w:t xml:space="preserve">, </w:t>
      </w:r>
      <w:proofErr w:type="spellStart"/>
      <w:proofErr w:type="gramStart"/>
      <w:r w:rsidRPr="00F55C93">
        <w:rPr>
          <w:i/>
        </w:rPr>
        <w:t>φ</w:t>
      </w:r>
      <w:r w:rsidRPr="00F55C93">
        <w:rPr>
          <w:vertAlign w:val="subscript"/>
        </w:rPr>
        <w:t>R</w:t>
      </w:r>
      <w:proofErr w:type="spellEnd"/>
      <w:proofErr w:type="gramEnd"/>
      <w:r w:rsidRPr="00F55C93">
        <w:t xml:space="preserve"> and </w:t>
      </w:r>
      <w:proofErr w:type="spellStart"/>
      <w:r w:rsidRPr="00F55C93">
        <w:rPr>
          <w:i/>
        </w:rPr>
        <w:t>φ</w:t>
      </w:r>
      <w:r w:rsidRPr="00F55C93">
        <w:rPr>
          <w:vertAlign w:val="subscript"/>
        </w:rPr>
        <w:t>G</w:t>
      </w:r>
      <w:proofErr w:type="spellEnd"/>
      <w:r w:rsidRPr="00F55C93">
        <w:t xml:space="preserve"> at 0.9 and 1.4 THz are shown in Figs. S8d and S8e. The linearly-inclined </w:t>
      </w:r>
      <w:proofErr w:type="spellStart"/>
      <w:proofErr w:type="gramStart"/>
      <w:r w:rsidRPr="00F55C93">
        <w:rPr>
          <w:i/>
        </w:rPr>
        <w:t>φ</w:t>
      </w:r>
      <w:r w:rsidRPr="00F55C93">
        <w:rPr>
          <w:vertAlign w:val="subscript"/>
        </w:rPr>
        <w:t>R</w:t>
      </w:r>
      <w:proofErr w:type="spellEnd"/>
      <w:proofErr w:type="gramEnd"/>
      <w:r w:rsidRPr="00F55C93">
        <w:t xml:space="preserve"> contributes to a dispersive deflection when </w:t>
      </w:r>
      <w:proofErr w:type="spellStart"/>
      <w:r w:rsidRPr="00F55C93">
        <w:rPr>
          <w:i/>
        </w:rPr>
        <w:t>φ</w:t>
      </w:r>
      <w:r w:rsidRPr="00F55C93">
        <w:rPr>
          <w:vertAlign w:val="subscript"/>
        </w:rPr>
        <w:t>G</w:t>
      </w:r>
      <w:proofErr w:type="spellEnd"/>
      <w:r w:rsidRPr="00F55C93">
        <w:t xml:space="preserve"> vanishes. We use the FDTD simulation method to simulate the performance of the designed deflector. At the achromatic state, </w:t>
      </w:r>
      <w:r w:rsidRPr="00F55C93">
        <w:rPr>
          <w:i/>
          <w:noProof/>
          <w:color w:val="000000" w:themeColor="text1"/>
        </w:rPr>
        <w:t>θ</w:t>
      </w:r>
      <w:r w:rsidRPr="00F55C93">
        <w:rPr>
          <w:noProof/>
          <w:color w:val="000000" w:themeColor="text1"/>
        </w:rPr>
        <w:t xml:space="preserve"> at </w:t>
      </w:r>
      <w:r w:rsidRPr="00F55C93">
        <w:t xml:space="preserve">all </w:t>
      </w:r>
      <w:r w:rsidRPr="00F55C93">
        <w:rPr>
          <w:i/>
        </w:rPr>
        <w:t>f</w:t>
      </w:r>
      <w:r w:rsidRPr="00F55C93">
        <w:t xml:space="preserve"> within the spectrum are around 17.0</w:t>
      </w:r>
      <w:r w:rsidRPr="00F55C93">
        <w:rPr>
          <w:noProof/>
          <w:color w:val="000000" w:themeColor="text1"/>
        </w:rPr>
        <w:t xml:space="preserve">° (Fig. S8g). When the LCs are set reoriented along </w:t>
      </w:r>
      <w:r w:rsidRPr="00F55C93">
        <w:rPr>
          <w:i/>
          <w:noProof/>
          <w:color w:val="000000" w:themeColor="text1"/>
        </w:rPr>
        <w:t>z</w:t>
      </w:r>
      <w:r w:rsidRPr="00F55C93">
        <w:rPr>
          <w:noProof/>
          <w:color w:val="000000" w:themeColor="text1"/>
        </w:rPr>
        <w:t xml:space="preserve">-axis, the results distinctly show a dispersive </w:t>
      </w:r>
      <w:r w:rsidRPr="00F55C93">
        <w:rPr>
          <w:i/>
          <w:noProof/>
          <w:color w:val="000000" w:themeColor="text1"/>
        </w:rPr>
        <w:t>θ</w:t>
      </w:r>
      <w:r w:rsidRPr="00F55C93">
        <w:rPr>
          <w:noProof/>
          <w:color w:val="000000" w:themeColor="text1"/>
        </w:rPr>
        <w:t xml:space="preserve"> (Fig. S8h). This property is quantitively analyzed in Fig. S8f. The </w:t>
      </w:r>
      <w:r w:rsidRPr="00F55C93">
        <w:rPr>
          <w:i/>
          <w:noProof/>
          <w:color w:val="000000" w:themeColor="text1"/>
        </w:rPr>
        <w:t>θ</w:t>
      </w:r>
      <w:r w:rsidRPr="00F55C93">
        <w:rPr>
          <w:noProof/>
          <w:color w:val="000000" w:themeColor="text1"/>
        </w:rPr>
        <w:t xml:space="preserve"> gradually varies from 6.0° to 10.3° when </w:t>
      </w:r>
      <w:r w:rsidRPr="00F55C93">
        <w:rPr>
          <w:i/>
          <w:noProof/>
          <w:color w:val="000000" w:themeColor="text1"/>
        </w:rPr>
        <w:t>f</w:t>
      </w:r>
      <w:r w:rsidRPr="00F55C93">
        <w:rPr>
          <w:noProof/>
          <w:color w:val="000000" w:themeColor="text1"/>
        </w:rPr>
        <w:t xml:space="preserve"> changes from 0.9 to 1.4 THz at the dispersive state.</w:t>
      </w:r>
    </w:p>
    <w:p w14:paraId="5866078F" w14:textId="77777777" w:rsidR="00A8616F" w:rsidRPr="00F55C93" w:rsidRDefault="00A8616F" w:rsidP="00A8616F">
      <w:pPr>
        <w:spacing w:line="480" w:lineRule="auto"/>
        <w:ind w:firstLineChars="200" w:firstLine="480"/>
        <w:jc w:val="both"/>
        <w:rPr>
          <w:noProof/>
        </w:rPr>
      </w:pPr>
      <w:r w:rsidRPr="00F55C93">
        <w:rPr>
          <w:noProof/>
          <w:lang w:eastAsia="zh-CN"/>
        </w:rPr>
        <w:drawing>
          <wp:inline distT="0" distB="0" distL="0" distR="0" wp14:anchorId="2CC410E3" wp14:editId="78C88F21">
            <wp:extent cx="5385241" cy="3420000"/>
            <wp:effectExtent l="0" t="0" r="6350" b="9525"/>
            <wp:docPr id="7" name="图片 7" descr="D:\201810- Achromatic Metalens\Figures\Figure S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10- Achromatic Metalens\Figures\Figure S12.b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10"/>
                    <a:stretch/>
                  </pic:blipFill>
                  <pic:spPr bwMode="auto">
                    <a:xfrm>
                      <a:off x="0" y="0"/>
                      <a:ext cx="5385241" cy="3420000"/>
                    </a:xfrm>
                    <a:prstGeom prst="rect">
                      <a:avLst/>
                    </a:prstGeom>
                    <a:noFill/>
                    <a:ln>
                      <a:noFill/>
                    </a:ln>
                    <a:extLst>
                      <a:ext uri="{53640926-AAD7-44D8-BBD7-CCE9431645EC}">
                        <a14:shadowObscured xmlns:a14="http://schemas.microsoft.com/office/drawing/2010/main"/>
                      </a:ext>
                    </a:extLst>
                  </pic:spPr>
                </pic:pic>
              </a:graphicData>
            </a:graphic>
          </wp:inline>
        </w:drawing>
      </w:r>
    </w:p>
    <w:p w14:paraId="5D3CDDBA" w14:textId="52DECCE9" w:rsidR="00A8616F" w:rsidRPr="00F55C93" w:rsidRDefault="00A8616F" w:rsidP="00A8616F">
      <w:pPr>
        <w:spacing w:after="240" w:line="360" w:lineRule="auto"/>
        <w:jc w:val="both"/>
        <w:rPr>
          <w:noProof/>
        </w:rPr>
      </w:pPr>
      <w:r w:rsidRPr="00C94BA4">
        <w:rPr>
          <w:b/>
          <w:noProof/>
          <w:sz w:val="20"/>
        </w:rPr>
        <w:t>Fig</w:t>
      </w:r>
      <w:r>
        <w:rPr>
          <w:b/>
          <w:noProof/>
          <w:sz w:val="20"/>
        </w:rPr>
        <w:t>. S8</w:t>
      </w:r>
      <w:r w:rsidRPr="00C94BA4">
        <w:rPr>
          <w:noProof/>
          <w:sz w:val="20"/>
        </w:rPr>
        <w:t xml:space="preserve"> </w:t>
      </w:r>
      <w:r>
        <w:rPr>
          <w:noProof/>
          <w:sz w:val="20"/>
        </w:rPr>
        <w:t>(</w:t>
      </w:r>
      <w:r w:rsidRPr="00C94BA4">
        <w:rPr>
          <w:noProof/>
          <w:sz w:val="20"/>
        </w:rPr>
        <w:t xml:space="preserve">a) Schematic of the function tunability from achromatic to dispersive deflection. </w:t>
      </w:r>
      <w:r>
        <w:rPr>
          <w:noProof/>
          <w:sz w:val="20"/>
        </w:rPr>
        <w:t>(</w:t>
      </w:r>
      <w:r w:rsidRPr="00C94BA4">
        <w:rPr>
          <w:noProof/>
          <w:sz w:val="20"/>
        </w:rPr>
        <w:t xml:space="preserve">b) Designed </w:t>
      </w:r>
      <w:r w:rsidRPr="00C94BA4">
        <w:rPr>
          <w:i/>
          <w:iCs/>
          <w:noProof/>
          <w:sz w:val="20"/>
        </w:rPr>
        <w:t>l</w:t>
      </w:r>
      <w:r w:rsidRPr="00C94BA4">
        <w:rPr>
          <w:noProof/>
          <w:sz w:val="20"/>
        </w:rPr>
        <w:t xml:space="preserve"> and </w:t>
      </w:r>
      <w:r w:rsidRPr="00C94BA4">
        <w:rPr>
          <w:i/>
          <w:iCs/>
          <w:noProof/>
          <w:sz w:val="20"/>
        </w:rPr>
        <w:t>w</w:t>
      </w:r>
      <w:r w:rsidRPr="00C94BA4">
        <w:rPr>
          <w:noProof/>
          <w:sz w:val="20"/>
        </w:rPr>
        <w:t xml:space="preserve"> of the silicon pillars along </w:t>
      </w:r>
      <w:r w:rsidRPr="00C94BA4">
        <w:rPr>
          <w:i/>
          <w:noProof/>
          <w:sz w:val="20"/>
        </w:rPr>
        <w:t>x</w:t>
      </w:r>
      <w:r w:rsidRPr="00C94BA4">
        <w:rPr>
          <w:noProof/>
          <w:sz w:val="20"/>
        </w:rPr>
        <w:t xml:space="preserve">. </w:t>
      </w:r>
      <w:r>
        <w:rPr>
          <w:noProof/>
          <w:sz w:val="20"/>
        </w:rPr>
        <w:t>(</w:t>
      </w:r>
      <w:r w:rsidRPr="00C94BA4">
        <w:rPr>
          <w:noProof/>
          <w:sz w:val="20"/>
        </w:rPr>
        <w:t xml:space="preserve">c) Designed </w:t>
      </w:r>
      <w:r w:rsidRPr="00C94BA4">
        <w:rPr>
          <w:iCs/>
          <w:noProof/>
          <w:sz w:val="20"/>
        </w:rPr>
        <w:t>LC orientation angle</w:t>
      </w:r>
      <w:r w:rsidRPr="00C94BA4">
        <w:rPr>
          <w:noProof/>
          <w:sz w:val="20"/>
        </w:rPr>
        <w:t xml:space="preserve"> along </w:t>
      </w:r>
      <w:r w:rsidRPr="00C94BA4">
        <w:rPr>
          <w:i/>
          <w:noProof/>
          <w:sz w:val="20"/>
        </w:rPr>
        <w:t>x</w:t>
      </w:r>
      <w:r w:rsidRPr="00C94BA4">
        <w:rPr>
          <w:noProof/>
          <w:sz w:val="20"/>
        </w:rPr>
        <w:t xml:space="preserve">. </w:t>
      </w:r>
      <w:r>
        <w:rPr>
          <w:noProof/>
          <w:sz w:val="20"/>
        </w:rPr>
        <w:t>(</w:t>
      </w:r>
      <w:r w:rsidRPr="00C94BA4">
        <w:rPr>
          <w:noProof/>
          <w:sz w:val="20"/>
        </w:rPr>
        <w:t>d, e)</w:t>
      </w:r>
      <w:r w:rsidRPr="00C94BA4">
        <w:rPr>
          <w:i/>
          <w:iCs/>
          <w:color w:val="000000" w:themeColor="text1"/>
          <w:sz w:val="20"/>
        </w:rPr>
        <w:t xml:space="preserve"> </w:t>
      </w:r>
      <w:proofErr w:type="spellStart"/>
      <w:r w:rsidRPr="00C94BA4">
        <w:rPr>
          <w:i/>
          <w:iCs/>
          <w:color w:val="000000" w:themeColor="text1"/>
          <w:sz w:val="20"/>
        </w:rPr>
        <w:t>φ</w:t>
      </w:r>
      <w:r w:rsidRPr="00C94BA4">
        <w:rPr>
          <w:iCs/>
          <w:color w:val="000000" w:themeColor="text1"/>
          <w:sz w:val="20"/>
          <w:vertAlign w:val="subscript"/>
        </w:rPr>
        <w:t>A</w:t>
      </w:r>
      <w:proofErr w:type="spellEnd"/>
      <w:r w:rsidRPr="00C94BA4">
        <w:rPr>
          <w:iCs/>
          <w:color w:val="000000" w:themeColor="text1"/>
          <w:sz w:val="20"/>
        </w:rPr>
        <w:t xml:space="preserve"> (</w:t>
      </w:r>
      <w:r w:rsidRPr="00C94BA4">
        <w:rPr>
          <w:sz w:val="20"/>
        </w:rPr>
        <w:t>solid curves</w:t>
      </w:r>
      <w:r w:rsidRPr="00C94BA4">
        <w:rPr>
          <w:iCs/>
          <w:color w:val="000000" w:themeColor="text1"/>
          <w:sz w:val="20"/>
        </w:rPr>
        <w:t xml:space="preserve">), </w:t>
      </w:r>
      <w:proofErr w:type="spellStart"/>
      <w:proofErr w:type="gramStart"/>
      <w:r w:rsidRPr="00C94BA4">
        <w:rPr>
          <w:i/>
          <w:iCs/>
          <w:color w:val="000000" w:themeColor="text1"/>
          <w:sz w:val="20"/>
        </w:rPr>
        <w:t>φ</w:t>
      </w:r>
      <w:r w:rsidRPr="00C94BA4">
        <w:rPr>
          <w:iCs/>
          <w:color w:val="000000" w:themeColor="text1"/>
          <w:sz w:val="20"/>
          <w:vertAlign w:val="subscript"/>
        </w:rPr>
        <w:t>R</w:t>
      </w:r>
      <w:proofErr w:type="spellEnd"/>
      <w:proofErr w:type="gramEnd"/>
      <w:r w:rsidRPr="00C94BA4">
        <w:rPr>
          <w:iCs/>
          <w:color w:val="000000" w:themeColor="text1"/>
          <w:sz w:val="20"/>
        </w:rPr>
        <w:t xml:space="preserve"> (</w:t>
      </w:r>
      <w:r w:rsidRPr="00C94BA4">
        <w:rPr>
          <w:sz w:val="20"/>
        </w:rPr>
        <w:t>dashed curves</w:t>
      </w:r>
      <w:r w:rsidRPr="00C94BA4">
        <w:rPr>
          <w:iCs/>
          <w:color w:val="000000" w:themeColor="text1"/>
          <w:sz w:val="20"/>
        </w:rPr>
        <w:t xml:space="preserve">) at (d) </w:t>
      </w:r>
      <w:r w:rsidRPr="00C94BA4">
        <w:rPr>
          <w:sz w:val="20"/>
        </w:rPr>
        <w:t>0.9 and (e) 1.4 THz with</w:t>
      </w:r>
      <w:r w:rsidRPr="00C94BA4">
        <w:rPr>
          <w:iCs/>
          <w:color w:val="000000" w:themeColor="text1"/>
          <w:sz w:val="20"/>
        </w:rPr>
        <w:t xml:space="preserve"> residual </w:t>
      </w:r>
      <w:proofErr w:type="spellStart"/>
      <w:r w:rsidRPr="00C94BA4">
        <w:rPr>
          <w:i/>
          <w:iCs/>
          <w:color w:val="000000" w:themeColor="text1"/>
          <w:sz w:val="20"/>
        </w:rPr>
        <w:t>φ</w:t>
      </w:r>
      <w:r w:rsidRPr="00C94BA4">
        <w:rPr>
          <w:iCs/>
          <w:color w:val="000000" w:themeColor="text1"/>
          <w:sz w:val="20"/>
          <w:vertAlign w:val="subscript"/>
        </w:rPr>
        <w:t>G</w:t>
      </w:r>
      <w:proofErr w:type="spellEnd"/>
      <w:r w:rsidRPr="00C94BA4">
        <w:rPr>
          <w:sz w:val="20"/>
        </w:rPr>
        <w:t xml:space="preserve">. </w:t>
      </w:r>
      <w:r>
        <w:rPr>
          <w:sz w:val="20"/>
        </w:rPr>
        <w:t>(</w:t>
      </w:r>
      <w:r w:rsidRPr="00C94BA4">
        <w:rPr>
          <w:sz w:val="20"/>
        </w:rPr>
        <w:t xml:space="preserve">f) </w:t>
      </w:r>
      <w:r w:rsidRPr="00C94BA4">
        <w:rPr>
          <w:color w:val="000000" w:themeColor="text1"/>
          <w:sz w:val="20"/>
        </w:rPr>
        <w:t xml:space="preserve">Simulated </w:t>
      </w:r>
      <w:r w:rsidRPr="00C94BA4">
        <w:rPr>
          <w:i/>
          <w:noProof/>
          <w:color w:val="000000" w:themeColor="text1"/>
          <w:sz w:val="20"/>
        </w:rPr>
        <w:t>θ</w:t>
      </w:r>
      <w:r w:rsidRPr="00C94BA4">
        <w:rPr>
          <w:noProof/>
          <w:color w:val="000000" w:themeColor="text1"/>
          <w:sz w:val="20"/>
        </w:rPr>
        <w:t xml:space="preserve"> </w:t>
      </w:r>
      <w:r w:rsidRPr="00C94BA4">
        <w:rPr>
          <w:color w:val="000000" w:themeColor="text1"/>
          <w:sz w:val="20"/>
        </w:rPr>
        <w:t xml:space="preserve">as a function of </w:t>
      </w:r>
      <w:r w:rsidRPr="00C94BA4">
        <w:rPr>
          <w:i/>
          <w:color w:val="000000" w:themeColor="text1"/>
          <w:sz w:val="20"/>
        </w:rPr>
        <w:t>f</w:t>
      </w:r>
      <w:r w:rsidRPr="00C94BA4">
        <w:rPr>
          <w:color w:val="000000" w:themeColor="text1"/>
          <w:sz w:val="20"/>
        </w:rPr>
        <w:t xml:space="preserve"> at the achromatic (red) and dispersive (blue) state, respectively. </w:t>
      </w:r>
      <w:r>
        <w:rPr>
          <w:color w:val="000000" w:themeColor="text1"/>
          <w:sz w:val="20"/>
        </w:rPr>
        <w:t>(</w:t>
      </w:r>
      <w:proofErr w:type="gramStart"/>
      <w:r w:rsidRPr="00C94BA4">
        <w:rPr>
          <w:color w:val="000000" w:themeColor="text1"/>
          <w:sz w:val="20"/>
        </w:rPr>
        <w:t>g</w:t>
      </w:r>
      <w:proofErr w:type="gramEnd"/>
      <w:r w:rsidRPr="00C94BA4">
        <w:rPr>
          <w:color w:val="000000" w:themeColor="text1"/>
          <w:sz w:val="20"/>
        </w:rPr>
        <w:t xml:space="preserve">, h) Simulated normalized </w:t>
      </w:r>
      <w:r w:rsidRPr="00C94BA4">
        <w:rPr>
          <w:i/>
          <w:color w:val="000000" w:themeColor="text1"/>
          <w:sz w:val="20"/>
        </w:rPr>
        <w:t>E</w:t>
      </w:r>
      <w:r w:rsidRPr="00C94BA4">
        <w:rPr>
          <w:color w:val="000000" w:themeColor="text1"/>
          <w:sz w:val="20"/>
          <w:vertAlign w:val="subscript"/>
        </w:rPr>
        <w:t>x</w:t>
      </w:r>
      <w:r w:rsidRPr="00C94BA4">
        <w:rPr>
          <w:color w:val="000000" w:themeColor="text1"/>
          <w:sz w:val="20"/>
        </w:rPr>
        <w:t xml:space="preserve">-filed in the </w:t>
      </w:r>
      <w:proofErr w:type="spellStart"/>
      <w:r w:rsidRPr="00C94BA4">
        <w:rPr>
          <w:i/>
          <w:color w:val="000000" w:themeColor="text1"/>
          <w:sz w:val="20"/>
        </w:rPr>
        <w:t>xz</w:t>
      </w:r>
      <w:proofErr w:type="spellEnd"/>
      <w:r w:rsidRPr="00C94BA4">
        <w:rPr>
          <w:color w:val="000000" w:themeColor="text1"/>
          <w:sz w:val="20"/>
        </w:rPr>
        <w:t xml:space="preserve">-plane at the (g) achromatic and (h) dispersive state, respectively. The dashed lines denote the </w:t>
      </w:r>
      <w:proofErr w:type="spellStart"/>
      <w:r w:rsidRPr="00C94BA4">
        <w:rPr>
          <w:color w:val="000000" w:themeColor="text1"/>
          <w:sz w:val="20"/>
        </w:rPr>
        <w:t>equiphase</w:t>
      </w:r>
      <w:proofErr w:type="spellEnd"/>
      <w:r w:rsidRPr="00C94BA4">
        <w:rPr>
          <w:color w:val="000000" w:themeColor="text1"/>
          <w:sz w:val="20"/>
        </w:rPr>
        <w:t xml:space="preserve"> surfaces while the solid arrow lines depict the deflection directions.</w:t>
      </w:r>
    </w:p>
    <w:p w14:paraId="03130E2D" w14:textId="77777777" w:rsidR="00A8616F" w:rsidRPr="00F55C93" w:rsidRDefault="00A8616F" w:rsidP="00A8616F">
      <w:pPr>
        <w:pStyle w:val="1"/>
        <w:rPr>
          <w:noProof/>
        </w:rPr>
      </w:pPr>
      <w:r w:rsidRPr="00F55C93">
        <w:lastRenderedPageBreak/>
        <w:t xml:space="preserve">Section </w:t>
      </w:r>
      <w:r>
        <w:t>S</w:t>
      </w:r>
      <w:r w:rsidRPr="00F55C93">
        <w:t>6: Fabrication procedure of the metalens</w:t>
      </w:r>
    </w:p>
    <w:p w14:paraId="0D139384" w14:textId="77777777" w:rsidR="00A8616F" w:rsidRPr="00F55C93" w:rsidRDefault="00A8616F" w:rsidP="00A8616F">
      <w:pPr>
        <w:spacing w:line="480" w:lineRule="auto"/>
        <w:ind w:firstLineChars="200" w:firstLine="480"/>
        <w:jc w:val="both"/>
        <w:rPr>
          <w:noProof/>
        </w:rPr>
      </w:pPr>
      <w:r w:rsidRPr="00F55C93">
        <w:rPr>
          <w:noProof/>
          <w:lang w:eastAsia="zh-CN"/>
        </w:rPr>
        <w:drawing>
          <wp:inline distT="0" distB="0" distL="0" distR="0" wp14:anchorId="4127EDCF" wp14:editId="33DAEBC0">
            <wp:extent cx="5927186" cy="104400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7186" cy="1044000"/>
                    </a:xfrm>
                    <a:prstGeom prst="rect">
                      <a:avLst/>
                    </a:prstGeom>
                    <a:noFill/>
                    <a:ln>
                      <a:noFill/>
                    </a:ln>
                  </pic:spPr>
                </pic:pic>
              </a:graphicData>
            </a:graphic>
          </wp:inline>
        </w:drawing>
      </w:r>
    </w:p>
    <w:p w14:paraId="6531D9F1" w14:textId="04953797" w:rsidR="002F06E5" w:rsidRPr="00E149B8" w:rsidRDefault="00A8616F" w:rsidP="00E149B8">
      <w:pPr>
        <w:spacing w:after="240" w:line="360" w:lineRule="auto"/>
        <w:jc w:val="both"/>
        <w:rPr>
          <w:b/>
          <w:sz w:val="20"/>
        </w:rPr>
      </w:pPr>
      <w:r w:rsidRPr="00C94BA4">
        <w:rPr>
          <w:b/>
          <w:sz w:val="20"/>
        </w:rPr>
        <w:t>Fig</w:t>
      </w:r>
      <w:r>
        <w:rPr>
          <w:b/>
          <w:sz w:val="20"/>
        </w:rPr>
        <w:t>. S9</w:t>
      </w:r>
      <w:r w:rsidRPr="00C94BA4">
        <w:rPr>
          <w:sz w:val="20"/>
        </w:rPr>
        <w:t xml:space="preserve"> Schematic illustration of the fabrication procedure.</w:t>
      </w:r>
    </w:p>
    <w:sectPr w:rsidR="002F06E5" w:rsidRPr="00E149B8" w:rsidSect="00DE7F32">
      <w:footerReference w:type="default" r:id="rId28"/>
      <w:footerReference w:type="first" r:id="rId29"/>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2BBD7" w14:textId="77777777" w:rsidR="00885AD6" w:rsidRDefault="00885AD6">
      <w:r>
        <w:separator/>
      </w:r>
    </w:p>
  </w:endnote>
  <w:endnote w:type="continuationSeparator" w:id="0">
    <w:p w14:paraId="03A00C4E" w14:textId="77777777" w:rsidR="00885AD6" w:rsidRDefault="0088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8ED3" w14:textId="77777777" w:rsidR="00EE0598" w:rsidRDefault="00EE0598" w:rsidP="00DE7F32">
    <w:pPr>
      <w:pStyle w:val="a4"/>
      <w:jc w:val="center"/>
    </w:pPr>
    <w:r>
      <w:rPr>
        <w:rStyle w:val="a9"/>
      </w:rPr>
      <w:fldChar w:fldCharType="begin"/>
    </w:r>
    <w:r>
      <w:rPr>
        <w:rStyle w:val="a9"/>
      </w:rPr>
      <w:instrText xml:space="preserve"> PAGE </w:instrText>
    </w:r>
    <w:r>
      <w:rPr>
        <w:rStyle w:val="a9"/>
      </w:rPr>
      <w:fldChar w:fldCharType="separate"/>
    </w:r>
    <w:r w:rsidR="00E10779">
      <w:rPr>
        <w:rStyle w:val="a9"/>
        <w:noProof/>
      </w:rPr>
      <w:t>8</w:t>
    </w:r>
    <w:r>
      <w:rPr>
        <w:rStyle w:val="a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B80CB" w14:textId="77777777" w:rsidR="00EE0598" w:rsidRDefault="00EE0598" w:rsidP="00DE7F32">
    <w:pPr>
      <w:pStyle w:val="a4"/>
      <w:jc w:val="cente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5088F" w14:textId="77777777" w:rsidR="00885AD6" w:rsidRDefault="00885AD6">
      <w:r>
        <w:separator/>
      </w:r>
    </w:p>
  </w:footnote>
  <w:footnote w:type="continuationSeparator" w:id="0">
    <w:p w14:paraId="10F77A28" w14:textId="77777777" w:rsidR="00885AD6" w:rsidRDefault="00885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30EB550"/>
    <w:lvl w:ilvl="0">
      <w:start w:val="1"/>
      <w:numFmt w:val="decimal"/>
      <w:lvlText w:val="%1."/>
      <w:lvlJc w:val="left"/>
      <w:pPr>
        <w:tabs>
          <w:tab w:val="num" w:pos="1800"/>
        </w:tabs>
        <w:ind w:left="1800" w:hanging="360"/>
      </w:pPr>
    </w:lvl>
  </w:abstractNum>
  <w:abstractNum w:abstractNumId="1">
    <w:nsid w:val="FFFFFF7D"/>
    <w:multiLevelType w:val="singleLevel"/>
    <w:tmpl w:val="EEA2538E"/>
    <w:lvl w:ilvl="0">
      <w:start w:val="1"/>
      <w:numFmt w:val="decimal"/>
      <w:lvlText w:val="%1."/>
      <w:lvlJc w:val="left"/>
      <w:pPr>
        <w:tabs>
          <w:tab w:val="num" w:pos="1440"/>
        </w:tabs>
        <w:ind w:left="1440" w:hanging="360"/>
      </w:pPr>
    </w:lvl>
  </w:abstractNum>
  <w:abstractNum w:abstractNumId="2">
    <w:nsid w:val="FFFFFF7E"/>
    <w:multiLevelType w:val="singleLevel"/>
    <w:tmpl w:val="24A8AD2C"/>
    <w:lvl w:ilvl="0">
      <w:start w:val="1"/>
      <w:numFmt w:val="decimal"/>
      <w:lvlText w:val="%1."/>
      <w:lvlJc w:val="left"/>
      <w:pPr>
        <w:tabs>
          <w:tab w:val="num" w:pos="1080"/>
        </w:tabs>
        <w:ind w:left="1080" w:hanging="360"/>
      </w:pPr>
    </w:lvl>
  </w:abstractNum>
  <w:abstractNum w:abstractNumId="3">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5C4AA22"/>
    <w:lvl w:ilvl="0">
      <w:start w:val="1"/>
      <w:numFmt w:val="decimal"/>
      <w:lvlText w:val="%1."/>
      <w:lvlJc w:val="left"/>
      <w:pPr>
        <w:tabs>
          <w:tab w:val="num" w:pos="360"/>
        </w:tabs>
        <w:ind w:left="360" w:hanging="360"/>
      </w:pPr>
    </w:lvl>
  </w:abstractNum>
  <w:abstractNum w:abstractNumId="9">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0"/>
  </w:num>
  <w:num w:numId="29">
    <w:abstractNumId w:val="29"/>
  </w:num>
  <w:num w:numId="30">
    <w:abstractNumId w:val="15"/>
  </w:num>
  <w:num w:numId="31">
    <w:abstractNumId w:val="22"/>
  </w:num>
  <w:num w:numId="32">
    <w:abstractNumId w:val="31"/>
  </w:num>
  <w:num w:numId="33">
    <w:abstractNumId w:val="26"/>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F6"/>
    <w:rsid w:val="000005E1"/>
    <w:rsid w:val="000024ED"/>
    <w:rsid w:val="000071B4"/>
    <w:rsid w:val="00012A71"/>
    <w:rsid w:val="00020565"/>
    <w:rsid w:val="00020B45"/>
    <w:rsid w:val="00023908"/>
    <w:rsid w:val="00023A72"/>
    <w:rsid w:val="00031888"/>
    <w:rsid w:val="00032025"/>
    <w:rsid w:val="00047535"/>
    <w:rsid w:val="0005401C"/>
    <w:rsid w:val="00061EDC"/>
    <w:rsid w:val="000642B2"/>
    <w:rsid w:val="000671F6"/>
    <w:rsid w:val="00072F37"/>
    <w:rsid w:val="0008152C"/>
    <w:rsid w:val="00084F73"/>
    <w:rsid w:val="00097DCC"/>
    <w:rsid w:val="000C3A78"/>
    <w:rsid w:val="000D6CC5"/>
    <w:rsid w:val="000E4F91"/>
    <w:rsid w:val="000F3D32"/>
    <w:rsid w:val="0010428F"/>
    <w:rsid w:val="00117F2A"/>
    <w:rsid w:val="00131907"/>
    <w:rsid w:val="00132E4B"/>
    <w:rsid w:val="00135901"/>
    <w:rsid w:val="00143448"/>
    <w:rsid w:val="0015075D"/>
    <w:rsid w:val="00166C92"/>
    <w:rsid w:val="001847B1"/>
    <w:rsid w:val="00187EFA"/>
    <w:rsid w:val="00194706"/>
    <w:rsid w:val="001A5B69"/>
    <w:rsid w:val="001A70F7"/>
    <w:rsid w:val="001B2CF5"/>
    <w:rsid w:val="001C4F5B"/>
    <w:rsid w:val="001D52D1"/>
    <w:rsid w:val="001E1A1E"/>
    <w:rsid w:val="001E1A28"/>
    <w:rsid w:val="001F5153"/>
    <w:rsid w:val="001F5EBE"/>
    <w:rsid w:val="001F65E0"/>
    <w:rsid w:val="00207CF8"/>
    <w:rsid w:val="002133AF"/>
    <w:rsid w:val="00221C7B"/>
    <w:rsid w:val="00222119"/>
    <w:rsid w:val="00232910"/>
    <w:rsid w:val="002419ED"/>
    <w:rsid w:val="00244D43"/>
    <w:rsid w:val="00247F78"/>
    <w:rsid w:val="0025169F"/>
    <w:rsid w:val="00256733"/>
    <w:rsid w:val="00257455"/>
    <w:rsid w:val="00262106"/>
    <w:rsid w:val="00284E66"/>
    <w:rsid w:val="002851BE"/>
    <w:rsid w:val="00291BF3"/>
    <w:rsid w:val="00292D88"/>
    <w:rsid w:val="00293898"/>
    <w:rsid w:val="002947A0"/>
    <w:rsid w:val="00294AD5"/>
    <w:rsid w:val="00297D14"/>
    <w:rsid w:val="002B7A82"/>
    <w:rsid w:val="002C367B"/>
    <w:rsid w:val="002C3FDC"/>
    <w:rsid w:val="002D06F7"/>
    <w:rsid w:val="002D1FBB"/>
    <w:rsid w:val="002D30F9"/>
    <w:rsid w:val="002F06E5"/>
    <w:rsid w:val="002F15B8"/>
    <w:rsid w:val="002F6694"/>
    <w:rsid w:val="00323093"/>
    <w:rsid w:val="00327C93"/>
    <w:rsid w:val="00332926"/>
    <w:rsid w:val="003339D2"/>
    <w:rsid w:val="00336799"/>
    <w:rsid w:val="0035341E"/>
    <w:rsid w:val="00360ACA"/>
    <w:rsid w:val="00364124"/>
    <w:rsid w:val="00367474"/>
    <w:rsid w:val="00367854"/>
    <w:rsid w:val="0037737C"/>
    <w:rsid w:val="00385B31"/>
    <w:rsid w:val="00386D02"/>
    <w:rsid w:val="003A2291"/>
    <w:rsid w:val="003B6870"/>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1774"/>
    <w:rsid w:val="00482D32"/>
    <w:rsid w:val="00485F8D"/>
    <w:rsid w:val="00495B42"/>
    <w:rsid w:val="004C6046"/>
    <w:rsid w:val="004D139D"/>
    <w:rsid w:val="004D504D"/>
    <w:rsid w:val="004D65CE"/>
    <w:rsid w:val="004D7928"/>
    <w:rsid w:val="004F21E4"/>
    <w:rsid w:val="004F53DB"/>
    <w:rsid w:val="00500BF5"/>
    <w:rsid w:val="00500D3E"/>
    <w:rsid w:val="00501211"/>
    <w:rsid w:val="005045B9"/>
    <w:rsid w:val="005311D5"/>
    <w:rsid w:val="005350E4"/>
    <w:rsid w:val="00541AE0"/>
    <w:rsid w:val="00550399"/>
    <w:rsid w:val="005548E8"/>
    <w:rsid w:val="00555E37"/>
    <w:rsid w:val="00560735"/>
    <w:rsid w:val="005663C9"/>
    <w:rsid w:val="00574E5A"/>
    <w:rsid w:val="005815FA"/>
    <w:rsid w:val="00581611"/>
    <w:rsid w:val="00584764"/>
    <w:rsid w:val="005924FA"/>
    <w:rsid w:val="00593019"/>
    <w:rsid w:val="005949A2"/>
    <w:rsid w:val="005A58FF"/>
    <w:rsid w:val="005A5995"/>
    <w:rsid w:val="005C13C3"/>
    <w:rsid w:val="005C535A"/>
    <w:rsid w:val="005D2713"/>
    <w:rsid w:val="005F120F"/>
    <w:rsid w:val="005F227D"/>
    <w:rsid w:val="005F4731"/>
    <w:rsid w:val="005F4A68"/>
    <w:rsid w:val="006003A5"/>
    <w:rsid w:val="0060514A"/>
    <w:rsid w:val="0060678F"/>
    <w:rsid w:val="006072D0"/>
    <w:rsid w:val="0061047D"/>
    <w:rsid w:val="00611190"/>
    <w:rsid w:val="00614A22"/>
    <w:rsid w:val="00615676"/>
    <w:rsid w:val="006262D8"/>
    <w:rsid w:val="00635FBE"/>
    <w:rsid w:val="006430EA"/>
    <w:rsid w:val="00643AF9"/>
    <w:rsid w:val="006541D1"/>
    <w:rsid w:val="00660772"/>
    <w:rsid w:val="0066141F"/>
    <w:rsid w:val="006622E6"/>
    <w:rsid w:val="0066289F"/>
    <w:rsid w:val="00667DEB"/>
    <w:rsid w:val="00677B21"/>
    <w:rsid w:val="006875A6"/>
    <w:rsid w:val="0069649A"/>
    <w:rsid w:val="006A002C"/>
    <w:rsid w:val="006A6B4E"/>
    <w:rsid w:val="006B3D4E"/>
    <w:rsid w:val="006B7251"/>
    <w:rsid w:val="006C1CDD"/>
    <w:rsid w:val="006C3A50"/>
    <w:rsid w:val="006D7509"/>
    <w:rsid w:val="006D77EF"/>
    <w:rsid w:val="006E5515"/>
    <w:rsid w:val="006F4FDF"/>
    <w:rsid w:val="006F6FA1"/>
    <w:rsid w:val="00702557"/>
    <w:rsid w:val="0071203F"/>
    <w:rsid w:val="00712FDE"/>
    <w:rsid w:val="00716802"/>
    <w:rsid w:val="00720808"/>
    <w:rsid w:val="00733504"/>
    <w:rsid w:val="007336B0"/>
    <w:rsid w:val="00737360"/>
    <w:rsid w:val="00756D5E"/>
    <w:rsid w:val="007619B3"/>
    <w:rsid w:val="00761B7E"/>
    <w:rsid w:val="00772F86"/>
    <w:rsid w:val="007746EA"/>
    <w:rsid w:val="00780E76"/>
    <w:rsid w:val="00785F9A"/>
    <w:rsid w:val="007A7F04"/>
    <w:rsid w:val="007B2E54"/>
    <w:rsid w:val="007B779B"/>
    <w:rsid w:val="007C167D"/>
    <w:rsid w:val="007D54F4"/>
    <w:rsid w:val="007E5BB8"/>
    <w:rsid w:val="007F51D0"/>
    <w:rsid w:val="008007C1"/>
    <w:rsid w:val="00807B15"/>
    <w:rsid w:val="0081096C"/>
    <w:rsid w:val="008145C3"/>
    <w:rsid w:val="0081613C"/>
    <w:rsid w:val="008233E8"/>
    <w:rsid w:val="008238DB"/>
    <w:rsid w:val="008441AA"/>
    <w:rsid w:val="00857DF0"/>
    <w:rsid w:val="0086390D"/>
    <w:rsid w:val="008641A7"/>
    <w:rsid w:val="008645BC"/>
    <w:rsid w:val="00877D38"/>
    <w:rsid w:val="0088026F"/>
    <w:rsid w:val="00885AD6"/>
    <w:rsid w:val="008903D1"/>
    <w:rsid w:val="0089615F"/>
    <w:rsid w:val="008A151D"/>
    <w:rsid w:val="008A5E36"/>
    <w:rsid w:val="008B3A3F"/>
    <w:rsid w:val="008C3404"/>
    <w:rsid w:val="008D089C"/>
    <w:rsid w:val="008D4B6A"/>
    <w:rsid w:val="008E1088"/>
    <w:rsid w:val="008E2243"/>
    <w:rsid w:val="008F17BD"/>
    <w:rsid w:val="008F3C8E"/>
    <w:rsid w:val="008F7116"/>
    <w:rsid w:val="009016A8"/>
    <w:rsid w:val="0091583E"/>
    <w:rsid w:val="0091745A"/>
    <w:rsid w:val="00922DB8"/>
    <w:rsid w:val="00924FCE"/>
    <w:rsid w:val="00930757"/>
    <w:rsid w:val="0093143D"/>
    <w:rsid w:val="00931445"/>
    <w:rsid w:val="00941F5D"/>
    <w:rsid w:val="00942C3B"/>
    <w:rsid w:val="00954F94"/>
    <w:rsid w:val="00963469"/>
    <w:rsid w:val="0098096D"/>
    <w:rsid w:val="00983404"/>
    <w:rsid w:val="00984FF1"/>
    <w:rsid w:val="0098513A"/>
    <w:rsid w:val="009939CD"/>
    <w:rsid w:val="009952E0"/>
    <w:rsid w:val="009A1618"/>
    <w:rsid w:val="009A723E"/>
    <w:rsid w:val="009B0CA0"/>
    <w:rsid w:val="009C68F6"/>
    <w:rsid w:val="009E01E8"/>
    <w:rsid w:val="009F01BA"/>
    <w:rsid w:val="00A00065"/>
    <w:rsid w:val="00A06481"/>
    <w:rsid w:val="00A12858"/>
    <w:rsid w:val="00A1559C"/>
    <w:rsid w:val="00A262EE"/>
    <w:rsid w:val="00A33F44"/>
    <w:rsid w:val="00A5076C"/>
    <w:rsid w:val="00A56091"/>
    <w:rsid w:val="00A57A4E"/>
    <w:rsid w:val="00A620A1"/>
    <w:rsid w:val="00A65D11"/>
    <w:rsid w:val="00A7052A"/>
    <w:rsid w:val="00A7203B"/>
    <w:rsid w:val="00A81BAC"/>
    <w:rsid w:val="00A8391E"/>
    <w:rsid w:val="00A8616F"/>
    <w:rsid w:val="00A9332B"/>
    <w:rsid w:val="00AB059B"/>
    <w:rsid w:val="00AB2CAA"/>
    <w:rsid w:val="00AC3903"/>
    <w:rsid w:val="00AD2694"/>
    <w:rsid w:val="00AE212F"/>
    <w:rsid w:val="00AE69EA"/>
    <w:rsid w:val="00AF704A"/>
    <w:rsid w:val="00B03DEA"/>
    <w:rsid w:val="00B109F4"/>
    <w:rsid w:val="00B10A60"/>
    <w:rsid w:val="00B20918"/>
    <w:rsid w:val="00B20CAE"/>
    <w:rsid w:val="00B2540A"/>
    <w:rsid w:val="00B27171"/>
    <w:rsid w:val="00B3168B"/>
    <w:rsid w:val="00B32859"/>
    <w:rsid w:val="00B33706"/>
    <w:rsid w:val="00B3600A"/>
    <w:rsid w:val="00B472F5"/>
    <w:rsid w:val="00B5022B"/>
    <w:rsid w:val="00B51B58"/>
    <w:rsid w:val="00B57710"/>
    <w:rsid w:val="00B64E4E"/>
    <w:rsid w:val="00B82E37"/>
    <w:rsid w:val="00B9320C"/>
    <w:rsid w:val="00BA036F"/>
    <w:rsid w:val="00BA1DBE"/>
    <w:rsid w:val="00BB1204"/>
    <w:rsid w:val="00BB7701"/>
    <w:rsid w:val="00BC3F54"/>
    <w:rsid w:val="00BC63E6"/>
    <w:rsid w:val="00BD43A9"/>
    <w:rsid w:val="00BE4BA9"/>
    <w:rsid w:val="00BF277E"/>
    <w:rsid w:val="00BF7396"/>
    <w:rsid w:val="00C0082D"/>
    <w:rsid w:val="00C031EE"/>
    <w:rsid w:val="00C03CF4"/>
    <w:rsid w:val="00C04148"/>
    <w:rsid w:val="00C07BD2"/>
    <w:rsid w:val="00C10FB3"/>
    <w:rsid w:val="00C2184E"/>
    <w:rsid w:val="00C23399"/>
    <w:rsid w:val="00C23E82"/>
    <w:rsid w:val="00C32ED3"/>
    <w:rsid w:val="00C47F8A"/>
    <w:rsid w:val="00C50E5E"/>
    <w:rsid w:val="00C61C7D"/>
    <w:rsid w:val="00C71DE4"/>
    <w:rsid w:val="00C7378C"/>
    <w:rsid w:val="00C763F1"/>
    <w:rsid w:val="00C913FE"/>
    <w:rsid w:val="00C926E5"/>
    <w:rsid w:val="00C974E7"/>
    <w:rsid w:val="00CA225C"/>
    <w:rsid w:val="00CA35AB"/>
    <w:rsid w:val="00CA3F02"/>
    <w:rsid w:val="00CA5CE1"/>
    <w:rsid w:val="00CA7272"/>
    <w:rsid w:val="00CB1929"/>
    <w:rsid w:val="00CB1B7E"/>
    <w:rsid w:val="00CB71F1"/>
    <w:rsid w:val="00CC31DC"/>
    <w:rsid w:val="00CF2315"/>
    <w:rsid w:val="00CF5364"/>
    <w:rsid w:val="00CF54FA"/>
    <w:rsid w:val="00D018A6"/>
    <w:rsid w:val="00D01BA3"/>
    <w:rsid w:val="00D12E0A"/>
    <w:rsid w:val="00D13C9F"/>
    <w:rsid w:val="00D3117A"/>
    <w:rsid w:val="00D36976"/>
    <w:rsid w:val="00D40E36"/>
    <w:rsid w:val="00D4539B"/>
    <w:rsid w:val="00D54828"/>
    <w:rsid w:val="00D742E3"/>
    <w:rsid w:val="00D90B2F"/>
    <w:rsid w:val="00D92CC5"/>
    <w:rsid w:val="00D93BEB"/>
    <w:rsid w:val="00D94A36"/>
    <w:rsid w:val="00DB5711"/>
    <w:rsid w:val="00DB5BEA"/>
    <w:rsid w:val="00DB77A9"/>
    <w:rsid w:val="00DB7B76"/>
    <w:rsid w:val="00DC0908"/>
    <w:rsid w:val="00DC349A"/>
    <w:rsid w:val="00DD3F5B"/>
    <w:rsid w:val="00DE01F0"/>
    <w:rsid w:val="00DE4A24"/>
    <w:rsid w:val="00DE7F32"/>
    <w:rsid w:val="00DF7E63"/>
    <w:rsid w:val="00E10779"/>
    <w:rsid w:val="00E12C3D"/>
    <w:rsid w:val="00E13550"/>
    <w:rsid w:val="00E149B8"/>
    <w:rsid w:val="00E241FF"/>
    <w:rsid w:val="00E328EC"/>
    <w:rsid w:val="00E62A60"/>
    <w:rsid w:val="00E73F77"/>
    <w:rsid w:val="00E74B51"/>
    <w:rsid w:val="00E774C4"/>
    <w:rsid w:val="00E84176"/>
    <w:rsid w:val="00EA6D57"/>
    <w:rsid w:val="00EB0D59"/>
    <w:rsid w:val="00EB4EBC"/>
    <w:rsid w:val="00EB71E2"/>
    <w:rsid w:val="00EB78C1"/>
    <w:rsid w:val="00EC1FEA"/>
    <w:rsid w:val="00EC427A"/>
    <w:rsid w:val="00EE0598"/>
    <w:rsid w:val="00EF010D"/>
    <w:rsid w:val="00EF286D"/>
    <w:rsid w:val="00F146AC"/>
    <w:rsid w:val="00F155F4"/>
    <w:rsid w:val="00F17A80"/>
    <w:rsid w:val="00F31A32"/>
    <w:rsid w:val="00F417F5"/>
    <w:rsid w:val="00F4305A"/>
    <w:rsid w:val="00F50861"/>
    <w:rsid w:val="00F51C9F"/>
    <w:rsid w:val="00F653F4"/>
    <w:rsid w:val="00F671E1"/>
    <w:rsid w:val="00F6764B"/>
    <w:rsid w:val="00F732BD"/>
    <w:rsid w:val="00F74B5A"/>
    <w:rsid w:val="00F752B7"/>
    <w:rsid w:val="00F91BBD"/>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CF2315"/>
    <w:pPr>
      <w:keepNext/>
      <w:tabs>
        <w:tab w:val="left" w:pos="432"/>
        <w:tab w:val="left" w:pos="576"/>
        <w:tab w:val="left" w:pos="720"/>
      </w:tabs>
      <w:spacing w:before="240" w:after="120" w:line="480" w:lineRule="auto"/>
      <w:outlineLvl w:val="0"/>
    </w:pPr>
    <w:rPr>
      <w:b/>
      <w:bCs/>
      <w:iCs/>
      <w:szCs w:val="28"/>
    </w:rPr>
  </w:style>
  <w:style w:type="paragraph" w:styleId="2">
    <w:name w:val="heading 2"/>
    <w:basedOn w:val="1"/>
    <w:next w:val="a"/>
    <w:qFormat/>
    <w:rsid w:val="00B20918"/>
    <w:pPr>
      <w:outlineLvl w:val="1"/>
    </w:pPr>
    <w:rPr>
      <w:b w:val="0"/>
      <w:bCs w:val="0"/>
      <w:i/>
      <w:iCs w:val="0"/>
      <w:szCs w:val="24"/>
    </w:rPr>
  </w:style>
  <w:style w:type="paragraph" w:styleId="3">
    <w:name w:val="heading 3"/>
    <w:basedOn w:val="2"/>
    <w:next w:val="a"/>
    <w:qFormat/>
    <w:rsid w:val="00B20918"/>
    <w:pPr>
      <w:outlineLvl w:val="2"/>
    </w:pPr>
    <w:rPr>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heoremsandAlgorithms">
    <w:name w:val="Theorems and Algorithms"/>
    <w:basedOn w:val="a3"/>
    <w:qFormat/>
    <w:rsid w:val="005A5995"/>
    <w:rPr>
      <w:sz w:val="20"/>
      <w:szCs w:val="20"/>
    </w:rPr>
  </w:style>
  <w:style w:type="paragraph" w:styleId="a3">
    <w:name w:val="Body Text"/>
    <w:basedOn w:val="a"/>
    <w:link w:val="Char"/>
    <w:rsid w:val="00B03DEA"/>
    <w:pPr>
      <w:spacing w:line="480" w:lineRule="auto"/>
      <w:jc w:val="both"/>
    </w:pPr>
  </w:style>
  <w:style w:type="character" w:customStyle="1" w:styleId="Char">
    <w:name w:val="正文文本 Char"/>
    <w:link w:val="a3"/>
    <w:rsid w:val="00B03DEA"/>
    <w:rPr>
      <w:sz w:val="24"/>
      <w:szCs w:val="24"/>
    </w:rPr>
  </w:style>
  <w:style w:type="paragraph" w:styleId="a4">
    <w:name w:val="footer"/>
    <w:basedOn w:val="a"/>
    <w:link w:val="Char0"/>
    <w:rsid w:val="00360ACA"/>
    <w:pPr>
      <w:tabs>
        <w:tab w:val="center" w:pos="4320"/>
        <w:tab w:val="right" w:pos="8640"/>
      </w:tabs>
      <w:ind w:left="144" w:hanging="144"/>
      <w:jc w:val="both"/>
    </w:pPr>
    <w:rPr>
      <w:sz w:val="20"/>
    </w:rPr>
  </w:style>
  <w:style w:type="character" w:customStyle="1" w:styleId="Char0">
    <w:name w:val="页脚 Char"/>
    <w:link w:val="a4"/>
    <w:rsid w:val="00360ACA"/>
    <w:rPr>
      <w:szCs w:val="24"/>
      <w:lang w:val="en-US" w:eastAsia="en-US" w:bidi="ar-SA"/>
    </w:rPr>
  </w:style>
  <w:style w:type="paragraph" w:customStyle="1" w:styleId="Papertitle">
    <w:name w:val="Paper title"/>
    <w:basedOn w:val="a"/>
    <w:qFormat/>
    <w:rsid w:val="00B03DEA"/>
    <w:rPr>
      <w:rFonts w:ascii="Arial" w:hAnsi="Arial" w:cs="Arial"/>
      <w:b/>
      <w:sz w:val="28"/>
      <w:szCs w:val="28"/>
    </w:rPr>
  </w:style>
  <w:style w:type="character" w:styleId="a5">
    <w:name w:val="FollowedHyperlink"/>
    <w:rsid w:val="002F06E5"/>
    <w:rPr>
      <w:color w:val="800080"/>
      <w:u w:val="single"/>
    </w:rPr>
  </w:style>
  <w:style w:type="paragraph" w:customStyle="1" w:styleId="CorrespondingAuthorFootnote">
    <w:name w:val="Corresponding Author Footnote"/>
    <w:basedOn w:val="a"/>
    <w:qFormat/>
    <w:rsid w:val="00931445"/>
    <w:rPr>
      <w:sz w:val="20"/>
      <w:szCs w:val="20"/>
    </w:rPr>
  </w:style>
  <w:style w:type="paragraph" w:customStyle="1" w:styleId="Abstract">
    <w:name w:val="Abstract"/>
    <w:basedOn w:val="a"/>
    <w:next w:val="a"/>
    <w:rsid w:val="00CF2315"/>
    <w:pPr>
      <w:spacing w:before="360"/>
      <w:jc w:val="both"/>
    </w:pPr>
    <w:rPr>
      <w:sz w:val="20"/>
      <w:szCs w:val="20"/>
    </w:rPr>
  </w:style>
  <w:style w:type="paragraph" w:customStyle="1" w:styleId="ArticleTitle">
    <w:name w:val="Article Title"/>
    <w:basedOn w:val="a"/>
    <w:next w:val="a"/>
    <w:rsid w:val="00CF2315"/>
    <w:rPr>
      <w:b/>
      <w:sz w:val="32"/>
    </w:rPr>
  </w:style>
  <w:style w:type="paragraph" w:customStyle="1" w:styleId="AuthorNames">
    <w:name w:val="Author Names"/>
    <w:basedOn w:val="a"/>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a6"/>
    <w:link w:val="FigurecaptionChar"/>
    <w:rsid w:val="00187EFA"/>
    <w:pPr>
      <w:spacing w:line="480" w:lineRule="auto"/>
      <w:jc w:val="center"/>
    </w:pPr>
    <w:rPr>
      <w:b w:val="0"/>
    </w:rPr>
  </w:style>
  <w:style w:type="paragraph" w:styleId="a6">
    <w:name w:val="caption"/>
    <w:basedOn w:val="a"/>
    <w:next w:val="a"/>
    <w:link w:val="Char1"/>
    <w:qFormat/>
    <w:rsid w:val="00EF010D"/>
    <w:rPr>
      <w:b/>
      <w:bCs/>
      <w:sz w:val="20"/>
      <w:szCs w:val="20"/>
    </w:rPr>
  </w:style>
  <w:style w:type="character" w:customStyle="1" w:styleId="Char1">
    <w:name w:val="题注 Char"/>
    <w:link w:val="a6"/>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a"/>
    <w:rsid w:val="00931445"/>
    <w:pPr>
      <w:spacing w:before="240" w:after="120"/>
      <w:jc w:val="center"/>
    </w:pPr>
    <w:rPr>
      <w:sz w:val="20"/>
      <w:szCs w:val="20"/>
    </w:rPr>
  </w:style>
  <w:style w:type="paragraph" w:customStyle="1" w:styleId="DisplayEquation">
    <w:name w:val="Display Equation"/>
    <w:basedOn w:val="a"/>
    <w:rsid w:val="00EF010D"/>
    <w:pPr>
      <w:tabs>
        <w:tab w:val="center" w:pos="3600"/>
        <w:tab w:val="right" w:pos="7200"/>
      </w:tabs>
    </w:pPr>
    <w:rPr>
      <w:sz w:val="22"/>
    </w:rPr>
  </w:style>
  <w:style w:type="paragraph" w:customStyle="1" w:styleId="AuthorAffiliations">
    <w:name w:val="Author Affiliations"/>
    <w:basedOn w:val="a"/>
    <w:qFormat/>
    <w:rsid w:val="00CF2315"/>
    <w:rPr>
      <w:sz w:val="20"/>
      <w:szCs w:val="20"/>
      <w:vertAlign w:val="superscript"/>
    </w:rPr>
  </w:style>
  <w:style w:type="paragraph" w:customStyle="1" w:styleId="BodyTextIndented">
    <w:name w:val="Body Text Indented"/>
    <w:basedOn w:val="a"/>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a"/>
    <w:rsid w:val="005A5995"/>
    <w:pPr>
      <w:numPr>
        <w:numId w:val="34"/>
      </w:numPr>
      <w:tabs>
        <w:tab w:val="left" w:pos="360"/>
      </w:tabs>
      <w:spacing w:line="480" w:lineRule="auto"/>
      <w:ind w:left="360"/>
    </w:pPr>
    <w:rPr>
      <w:sz w:val="22"/>
    </w:rPr>
  </w:style>
  <w:style w:type="paragraph" w:customStyle="1" w:styleId="Numberedlist">
    <w:name w:val="Numbered list"/>
    <w:basedOn w:val="a"/>
    <w:rsid w:val="00E13550"/>
    <w:pPr>
      <w:numPr>
        <w:numId w:val="20"/>
      </w:numPr>
      <w:tabs>
        <w:tab w:val="clear" w:pos="1080"/>
        <w:tab w:val="left" w:pos="720"/>
      </w:tabs>
      <w:ind w:left="720" w:hanging="360"/>
    </w:pPr>
    <w:rPr>
      <w:sz w:val="22"/>
    </w:rPr>
  </w:style>
  <w:style w:type="character" w:styleId="a7">
    <w:name w:val="Hyperlink"/>
    <w:uiPriority w:val="99"/>
    <w:rsid w:val="00C23399"/>
    <w:rPr>
      <w:color w:val="0000FF"/>
      <w:u w:val="single"/>
    </w:rPr>
  </w:style>
  <w:style w:type="paragraph" w:customStyle="1" w:styleId="Keywords">
    <w:name w:val="Keywords"/>
    <w:basedOn w:val="a"/>
    <w:qFormat/>
    <w:rsid w:val="00187EFA"/>
    <w:rPr>
      <w:sz w:val="20"/>
      <w:szCs w:val="20"/>
    </w:rPr>
  </w:style>
  <w:style w:type="paragraph" w:styleId="a8">
    <w:name w:val="header"/>
    <w:basedOn w:val="a"/>
    <w:link w:val="Char2"/>
    <w:rsid w:val="00DE7F32"/>
    <w:pPr>
      <w:tabs>
        <w:tab w:val="center" w:pos="4680"/>
        <w:tab w:val="right" w:pos="9360"/>
      </w:tabs>
    </w:pPr>
  </w:style>
  <w:style w:type="character" w:customStyle="1" w:styleId="Char2">
    <w:name w:val="页眉 Char"/>
    <w:link w:val="a8"/>
    <w:rsid w:val="00DE7F32"/>
    <w:rPr>
      <w:sz w:val="24"/>
      <w:szCs w:val="24"/>
    </w:rPr>
  </w:style>
  <w:style w:type="character" w:styleId="a9">
    <w:name w:val="page number"/>
    <w:rsid w:val="00DE7F32"/>
  </w:style>
  <w:style w:type="paragraph" w:styleId="aa">
    <w:name w:val="Normal (Web)"/>
    <w:basedOn w:val="a"/>
    <w:rsid w:val="00877D38"/>
  </w:style>
  <w:style w:type="character" w:customStyle="1" w:styleId="STOEChar1">
    <w:name w:val="STOE Char1"/>
    <w:link w:val="STOE"/>
    <w:rsid w:val="000C3A78"/>
    <w:rPr>
      <w:rFonts w:ascii="Times" w:hAnsi="Times"/>
      <w:sz w:val="18"/>
      <w:szCs w:val="3276"/>
      <w:lang w:val="en-GB" w:eastAsia="de-DE"/>
    </w:rPr>
  </w:style>
  <w:style w:type="paragraph" w:customStyle="1" w:styleId="STOE">
    <w:name w:val="STOE"/>
    <w:basedOn w:val="a"/>
    <w:link w:val="STOEChar1"/>
    <w:rsid w:val="000C3A78"/>
    <w:pPr>
      <w:widowControl w:val="0"/>
      <w:spacing w:line="236" w:lineRule="exact"/>
      <w:ind w:right="4434"/>
      <w:jc w:val="both"/>
    </w:pPr>
    <w:rPr>
      <w:rFonts w:ascii="Times" w:hAnsi="Times"/>
      <w:sz w:val="18"/>
      <w:szCs w:val="3276"/>
      <w:lang w:val="en-GB" w:eastAsia="de-DE"/>
    </w:rPr>
  </w:style>
  <w:style w:type="paragraph" w:customStyle="1" w:styleId="Head1">
    <w:name w:val="Head 1"/>
    <w:basedOn w:val="a"/>
    <w:rsid w:val="007B779B"/>
    <w:pPr>
      <w:spacing w:line="360" w:lineRule="auto"/>
    </w:pPr>
    <w:rPr>
      <w:rFonts w:eastAsia="MS Mincho"/>
      <w:b/>
      <w:lang w:eastAsia="ja-JP"/>
    </w:rPr>
  </w:style>
  <w:style w:type="paragraph" w:customStyle="1" w:styleId="MTDisplayEquation">
    <w:name w:val="MTDisplayEquation"/>
    <w:basedOn w:val="a"/>
    <w:next w:val="a"/>
    <w:link w:val="MTDisplayEquationChar"/>
    <w:rsid w:val="006C1CDD"/>
    <w:pPr>
      <w:tabs>
        <w:tab w:val="center" w:pos="5040"/>
        <w:tab w:val="right" w:pos="10080"/>
      </w:tabs>
      <w:spacing w:line="360" w:lineRule="auto"/>
      <w:jc w:val="both"/>
    </w:pPr>
    <w:rPr>
      <w:rFonts w:eastAsia="宋体"/>
      <w:sz w:val="20"/>
      <w:szCs w:val="20"/>
    </w:rPr>
  </w:style>
  <w:style w:type="character" w:customStyle="1" w:styleId="MTDisplayEquationChar">
    <w:name w:val="MTDisplayEquation Char"/>
    <w:link w:val="MTDisplayEquation"/>
    <w:rsid w:val="006C1CDD"/>
    <w:rPr>
      <w:rFonts w:eastAsia="宋体"/>
    </w:rPr>
  </w:style>
  <w:style w:type="paragraph" w:customStyle="1" w:styleId="EndNoteBibliography">
    <w:name w:val="EndNote Bibliography"/>
    <w:basedOn w:val="a"/>
    <w:link w:val="EndNoteBibliographyChar"/>
    <w:rsid w:val="006C1CDD"/>
    <w:pPr>
      <w:jc w:val="both"/>
    </w:pPr>
    <w:rPr>
      <w:rFonts w:eastAsia="宋体"/>
      <w:noProof/>
    </w:rPr>
  </w:style>
  <w:style w:type="character" w:customStyle="1" w:styleId="EndNoteBibliographyChar">
    <w:name w:val="EndNote Bibliography Char"/>
    <w:basedOn w:val="a0"/>
    <w:link w:val="EndNoteBibliography"/>
    <w:rsid w:val="006C1CDD"/>
    <w:rPr>
      <w:rFonts w:eastAsia="宋体"/>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949357440">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w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2.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EBE0BC-836D-4AF6-939F-6B36557C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Template>
  <TotalTime>104</TotalTime>
  <Pages>9</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9948</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Shen Zhixiong</cp:lastModifiedBy>
  <cp:revision>29</cp:revision>
  <cp:lastPrinted>2007-04-02T23:39:00Z</cp:lastPrinted>
  <dcterms:created xsi:type="dcterms:W3CDTF">2020-04-03T06:37:00Z</dcterms:created>
  <dcterms:modified xsi:type="dcterms:W3CDTF">2020-04-29T06:42:00Z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